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1319530</wp:posOffset>
            </wp:positionH>
            <wp:positionV relativeFrom="page">
              <wp:posOffset>579755</wp:posOffset>
            </wp:positionV>
            <wp:extent cx="4909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page">
              <wp:posOffset>1319530</wp:posOffset>
            </wp:positionH>
            <wp:positionV relativeFrom="page">
              <wp:posOffset>593725</wp:posOffset>
            </wp:positionV>
            <wp:extent cx="4909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9820" cy="6985"/>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48260</wp:posOffset>
            </wp:positionV>
            <wp:extent cx="981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8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-74295</wp:posOffset>
            </wp:positionV>
            <wp:extent cx="981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ind w:left="940" w:hanging="302"/>
        <w:spacing w:after="0"/>
        <w:tabs>
          <w:tab w:leader="none" w:pos="94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72"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color w:val="auto"/>
        </w:rPr>
        <w:t>For the quarterly period ended March 31,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1537335</wp:posOffset>
            </wp:positionH>
            <wp:positionV relativeFrom="paragraph">
              <wp:posOffset>16510</wp:posOffset>
            </wp:positionV>
            <wp:extent cx="37782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8250" cy="698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5" w:lineRule="exact"/>
        <w:rPr>
          <w:sz w:val="24"/>
          <w:szCs w:val="24"/>
          <w:color w:val="auto"/>
        </w:rPr>
      </w:pPr>
    </w:p>
    <w:p>
      <w:pPr>
        <w:ind w:left="940" w:hanging="302"/>
        <w:spacing w:after="0"/>
        <w:tabs>
          <w:tab w:leader="none" w:pos="94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color w:val="auto"/>
        </w:rPr>
        <w:t xml:space="preserve">For the transition period from </w:t>
      </w:r>
      <w:r>
        <w:rPr>
          <w:rFonts w:ascii="Times New Roman" w:cs="Times New Roman" w:eastAsia="Times New Roman" w:hAnsi="Times New Roman"/>
          <w:sz w:val="14"/>
          <w:szCs w:val="14"/>
          <w:b w:val="1"/>
          <w:bCs w:val="1"/>
          <w:color w:val="auto"/>
        </w:rPr>
        <w:t>_____________________________</w:t>
      </w:r>
      <w:r>
        <w:rPr>
          <w:rFonts w:ascii="Times New Roman" w:cs="Times New Roman" w:eastAsia="Times New Roman" w:hAnsi="Times New Roman"/>
          <w:sz w:val="14"/>
          <w:szCs w:val="14"/>
          <w:color w:val="auto"/>
        </w:rPr>
        <w:t>to</w:t>
      </w:r>
      <w:r>
        <w:rPr>
          <w:rFonts w:ascii="Times New Roman" w:cs="Times New Roman" w:eastAsia="Times New Roman" w:hAnsi="Times New Roman"/>
          <w:sz w:val="14"/>
          <w:szCs w:val="14"/>
          <w:b w:val="1"/>
          <w:bCs w:val="1"/>
          <w:color w:val="auto"/>
        </w:rPr>
        <w:t>_____________________________________________________</w:t>
      </w:r>
    </w:p>
    <w:p>
      <w:pPr>
        <w:spacing w:after="0" w:line="27" w:lineRule="exact"/>
        <w:rPr>
          <w:sz w:val="24"/>
          <w:szCs w:val="24"/>
          <w:color w:val="auto"/>
        </w:rPr>
      </w:pPr>
    </w:p>
    <w:p>
      <w:pPr>
        <w:ind w:left="640"/>
        <w:spacing w:after="0"/>
        <w:tabs>
          <w:tab w:leader="none" w:pos="2280" w:val="left"/>
        </w:tabs>
        <w:rPr>
          <w:sz w:val="20"/>
          <w:szCs w:val="20"/>
          <w:color w:val="auto"/>
        </w:rPr>
      </w:pPr>
      <w:r>
        <w:rPr>
          <w:rFonts w:ascii="Times New Roman" w:cs="Times New Roman" w:eastAsia="Times New Roman" w:hAnsi="Times New Roman"/>
          <w:sz w:val="14"/>
          <w:szCs w:val="14"/>
          <w:color w:val="auto"/>
        </w:rPr>
        <w:t>Commission File Number:</w:t>
        <w:tab/>
        <w:t>001-40603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1441450</wp:posOffset>
            </wp:positionH>
            <wp:positionV relativeFrom="paragraph">
              <wp:posOffset>7620</wp:posOffset>
            </wp:positionV>
            <wp:extent cx="38735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73500" cy="698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191770</wp:posOffset>
            </wp:positionV>
            <wp:extent cx="9817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29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4"/>
          <w:szCs w:val="34"/>
          <w:b w:val="1"/>
          <w:bCs w:val="1"/>
          <w:color w:val="auto"/>
        </w:rPr>
        <w:t>TSCAN THERAPEUTICS, INC.</w:t>
      </w:r>
    </w:p>
    <w:p>
      <w:pPr>
        <w:sectPr>
          <w:pgSz w:w="11900" w:h="16838" w:orient="portrait"/>
          <w:cols w:equalWidth="0" w:num="1">
            <w:col w:w="9019"/>
          </w:cols>
          <w:pgMar w:left="1440" w:top="1089" w:right="1440" w:bottom="1440" w:gutter="0" w:footer="0" w:header="0"/>
        </w:sectPr>
      </w:pPr>
    </w:p>
    <w:p>
      <w:pPr>
        <w:spacing w:after="0" w:line="4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53975</wp:posOffset>
            </wp:positionV>
            <wp:extent cx="98171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12"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17"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148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82-5282075</w:t>
      </w:r>
    </w:p>
    <w:p>
      <w:pPr>
        <w:spacing w:after="0" w:line="2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33" w:lineRule="exact"/>
        <w:rPr>
          <w:sz w:val="24"/>
          <w:szCs w:val="24"/>
          <w:color w:val="auto"/>
        </w:rPr>
      </w:pPr>
    </w:p>
    <w:p>
      <w:pPr>
        <w:sectPr>
          <w:pgSz w:w="11900" w:h="16838" w:orient="portrait"/>
          <w:cols w:equalWidth="0" w:num="2">
            <w:col w:w="6080" w:space="380"/>
            <w:col w:w="2559"/>
          </w:cols>
          <w:pgMar w:left="1440" w:top="1089" w:right="1440" w:bottom="1440" w:gutter="0" w:footer="0" w:header="0"/>
          <w:type w:val="continuous"/>
        </w:sectPr>
      </w:pPr>
    </w:p>
    <w:tbl>
      <w:tblPr>
        <w:tblLayout w:type="fixed"/>
        <w:tblInd w:w="640" w:type="dxa"/>
        <w:tblCellMar>
          <w:top w:w="0" w:type="dxa"/>
          <w:left w:w="0" w:type="dxa"/>
          <w:bottom w:w="0" w:type="dxa"/>
          <w:right w:w="0" w:type="dxa"/>
        </w:tblCellMar>
      </w:tblPr>
      <w:tr>
        <w:trPr>
          <w:trHeight w:val="172"/>
        </w:trPr>
        <w:tc>
          <w:tcPr>
            <w:tcW w:w="34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830 Winter Street,</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4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Waltham, Massachusetts</w:t>
            </w:r>
          </w:p>
        </w:tc>
        <w:tc>
          <w:tcPr>
            <w:tcW w:w="1240" w:type="dxa"/>
            <w:vAlign w:val="bottom"/>
          </w:tcPr>
          <w:p>
            <w:pPr>
              <w:spacing w:after="0"/>
              <w:rPr>
                <w:sz w:val="15"/>
                <w:szCs w:val="15"/>
                <w:color w:val="auto"/>
              </w:rPr>
            </w:pPr>
          </w:p>
        </w:tc>
        <w:tc>
          <w:tcPr>
            <w:tcW w:w="3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02451</w:t>
            </w:r>
          </w:p>
        </w:tc>
        <w:tc>
          <w:tcPr>
            <w:tcW w:w="0" w:type="dxa"/>
            <w:vAlign w:val="bottom"/>
          </w:tcPr>
          <w:p>
            <w:pPr>
              <w:spacing w:after="0"/>
              <w:rPr>
                <w:sz w:val="1"/>
                <w:szCs w:val="1"/>
                <w:color w:val="auto"/>
              </w:rPr>
            </w:pPr>
          </w:p>
        </w:tc>
      </w:tr>
      <w:tr>
        <w:trPr>
          <w:trHeight w:val="131"/>
        </w:trPr>
        <w:tc>
          <w:tcPr>
            <w:tcW w:w="3400" w:type="dxa"/>
            <w:vAlign w:val="bottom"/>
            <w:gridSpan w:val="3"/>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(Zip Code)</w:t>
            </w:r>
          </w:p>
        </w:tc>
        <w:tc>
          <w:tcPr>
            <w:tcW w:w="0" w:type="dxa"/>
            <w:vAlign w:val="bottom"/>
          </w:tcPr>
          <w:p>
            <w:pPr>
              <w:spacing w:after="0"/>
              <w:rPr>
                <w:sz w:val="1"/>
                <w:szCs w:val="1"/>
                <w:color w:val="auto"/>
              </w:rPr>
            </w:pPr>
          </w:p>
        </w:tc>
      </w:tr>
      <w:tr>
        <w:trPr>
          <w:trHeight w:val="200"/>
        </w:trPr>
        <w:tc>
          <w:tcPr>
            <w:tcW w:w="3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(857) 399-9500</w:t>
            </w:r>
          </w:p>
        </w:tc>
        <w:tc>
          <w:tcPr>
            <w:tcW w:w="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7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211"/>
        </w:trPr>
        <w:tc>
          <w:tcPr>
            <w:tcW w:w="3400" w:type="dxa"/>
            <w:vAlign w:val="bottom"/>
            <w:gridSpan w:val="3"/>
          </w:tcPr>
          <w:p>
            <w:pPr>
              <w:ind w:left="420"/>
              <w:spacing w:after="0"/>
              <w:rPr>
                <w:sz w:val="20"/>
                <w:szCs w:val="20"/>
                <w:color w:val="auto"/>
              </w:rPr>
            </w:pPr>
            <w:r>
              <w:rPr>
                <w:rFonts w:ascii="Times New Roman" w:cs="Times New Roman" w:eastAsia="Times New Roman" w:hAnsi="Times New Roman"/>
                <w:sz w:val="13"/>
                <w:szCs w:val="13"/>
                <w:color w:val="auto"/>
                <w:w w:val="98"/>
              </w:rPr>
              <w:t>Securities registered pursuant to Section 12(b) of the Act: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40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240" w:type="dxa"/>
            <w:vAlign w:val="bottom"/>
          </w:tcPr>
          <w:p>
            <w:pPr>
              <w:jc w:val="center"/>
              <w:ind w:right="216"/>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80" w:type="dxa"/>
            <w:vAlign w:val="bottom"/>
          </w:tcPr>
          <w:p>
            <w:pPr>
              <w:spacing w:after="0"/>
              <w:rPr>
                <w:sz w:val="13"/>
                <w:szCs w:val="13"/>
                <w:color w:val="auto"/>
              </w:rPr>
            </w:pP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37"/>
        </w:trPr>
        <w:tc>
          <w:tcPr>
            <w:tcW w:w="3400" w:type="dxa"/>
            <w:vAlign w:val="bottom"/>
            <w:gridSpan w:val="3"/>
            <w:vMerge w:val="continue"/>
          </w:tcPr>
          <w:p>
            <w:pPr>
              <w:spacing w:after="0"/>
              <w:rPr>
                <w:sz w:val="11"/>
                <w:szCs w:val="11"/>
                <w:color w:val="auto"/>
              </w:rPr>
            </w:pPr>
          </w:p>
        </w:tc>
        <w:tc>
          <w:tcPr>
            <w:tcW w:w="1240" w:type="dxa"/>
            <w:vAlign w:val="bottom"/>
          </w:tcPr>
          <w:p>
            <w:pPr>
              <w:jc w:val="center"/>
              <w:ind w:right="216"/>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1"/>
                <w:szCs w:val="11"/>
                <w:color w:val="auto"/>
              </w:rPr>
            </w:pPr>
          </w:p>
        </w:tc>
        <w:tc>
          <w:tcPr>
            <w:tcW w:w="3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Voting Common Stock, $0.0001 par value per share</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color w:val="auto"/>
              </w:rPr>
              <w:t>TCRX</w:t>
            </w:r>
          </w:p>
        </w:tc>
        <w:tc>
          <w:tcPr>
            <w:tcW w:w="80" w:type="dxa"/>
            <w:vAlign w:val="bottom"/>
          </w:tcPr>
          <w:p>
            <w:pPr>
              <w:spacing w:after="0"/>
              <w:rPr>
                <w:sz w:val="15"/>
                <w:szCs w:val="15"/>
                <w:color w:val="auto"/>
              </w:rPr>
            </w:pPr>
          </w:p>
        </w:tc>
        <w:tc>
          <w:tcPr>
            <w:tcW w:w="3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Market, LLC</w:t>
            </w:r>
          </w:p>
        </w:tc>
        <w:tc>
          <w:tcPr>
            <w:tcW w:w="0" w:type="dxa"/>
            <w:vAlign w:val="bottom"/>
          </w:tcPr>
          <w:p>
            <w:pPr>
              <w:spacing w:after="0"/>
              <w:rPr>
                <w:sz w:val="1"/>
                <w:szCs w:val="1"/>
                <w:color w:val="auto"/>
              </w:rPr>
            </w:pPr>
          </w:p>
        </w:tc>
      </w:tr>
    </w:tbl>
    <w:p>
      <w:pPr>
        <w:spacing w:after="0" w:line="180" w:lineRule="exact"/>
        <w:rPr>
          <w:sz w:val="24"/>
          <w:szCs w:val="24"/>
          <w:color w:val="auto"/>
        </w:rPr>
      </w:pPr>
    </w:p>
    <w:p>
      <w:pPr>
        <w:jc w:val="both"/>
        <w:ind w:left="640" w:right="739" w:firstLine="412"/>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left="640" w:right="759" w:firstLine="412"/>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left="640" w:right="919" w:firstLine="412"/>
        <w:spacing w:after="0" w:line="27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640" w:type="dxa"/>
        <w:tblCellMar>
          <w:top w:w="0" w:type="dxa"/>
          <w:left w:w="0" w:type="dxa"/>
          <w:bottom w:w="0" w:type="dxa"/>
          <w:right w:w="0" w:type="dxa"/>
        </w:tblCellMar>
      </w:tblPr>
      <w:tr>
        <w:trPr>
          <w:trHeight w:val="215"/>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46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3"/>
        </w:trPr>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46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Emerging growth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8" w:lineRule="exact"/>
        <w:rPr>
          <w:sz w:val="24"/>
          <w:szCs w:val="24"/>
          <w:color w:val="auto"/>
        </w:rPr>
      </w:pPr>
    </w:p>
    <w:p>
      <w:pPr>
        <w:ind w:left="640" w:right="759" w:firstLine="412"/>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left="1060"/>
        <w:spacing w:after="0" w:line="150" w:lineRule="exact"/>
        <w:tabs>
          <w:tab w:leader="none" w:pos="7040" w:val="left"/>
          <w:tab w:leader="none" w:pos="756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72" w:lineRule="exact"/>
        <w:rPr>
          <w:sz w:val="24"/>
          <w:szCs w:val="24"/>
          <w:color w:val="auto"/>
        </w:rPr>
      </w:pPr>
    </w:p>
    <w:p>
      <w:pPr>
        <w:ind w:left="640" w:right="739" w:firstLine="412"/>
        <w:spacing w:after="0" w:line="286" w:lineRule="auto"/>
        <w:rPr>
          <w:sz w:val="20"/>
          <w:szCs w:val="20"/>
          <w:color w:val="auto"/>
        </w:rPr>
      </w:pPr>
      <w:r>
        <w:rPr>
          <w:rFonts w:ascii="Times New Roman" w:cs="Times New Roman" w:eastAsia="Times New Roman" w:hAnsi="Times New Roman"/>
          <w:sz w:val="13"/>
          <w:szCs w:val="13"/>
          <w:color w:val="auto"/>
        </w:rPr>
        <w:t>As of May 1, 2026, the registrant had 61,074,229 shares of voting common stock, $0.0001 par value per share, and 4,276,588 shares of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633730</wp:posOffset>
            </wp:positionV>
            <wp:extent cx="56038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26035</wp:posOffset>
            </wp:positionV>
            <wp:extent cx="490982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40005</wp:posOffset>
            </wp:positionV>
            <wp:extent cx="490982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type w:val="continuous"/>
        </w:sectPr>
      </w:pPr>
    </w:p>
    <w:bookmarkStart w:id="1" w:name="page2"/>
    <w:bookmarkEnd w:id="1"/>
    <w:p>
      <w:pPr>
        <w:ind w:left="64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99"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This Quarterly Report on Form 10-Q, or Quarterly Report, contains forward-looking statements within the meaning of Section 27A of the Securities Act of 1933, as amended, or the Securities Act, and Section 21E of the Securities Exchange Act of 1934, as amended, or the Exchange Act, that involve substantial risks and uncertainties. All statements, other than statements of historical facts, contained in this Quarterly Report are forward-looking statements.</w:t>
      </w:r>
    </w:p>
    <w:p>
      <w:pPr>
        <w:spacing w:after="0" w:line="108"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words such as “may,” “can,” “will,” “should,” “would,” “expect,” “plan,” “anticipate,” “could,” “intend,” “target,” “project,” “seek,” “contemplate,” “believe,” “estimate,” “predict,” “potential,” “possible” or “continue” or the negative of these terms or other similar expressions are intended to identify forward-looking statements, although not all forward-looking statements contain these identifying words. Forward-looking statements contained in this Quarterly Report include, but are not limited to, statements about:</w:t>
      </w:r>
    </w:p>
    <w:p>
      <w:pPr>
        <w:spacing w:after="0" w:line="56" w:lineRule="exact"/>
        <w:rPr>
          <w:sz w:val="20"/>
          <w:szCs w:val="20"/>
          <w:color w:val="auto"/>
        </w:rPr>
      </w:pPr>
    </w:p>
    <w:p>
      <w:pPr>
        <w:ind w:left="1340" w:right="65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characteristics, safety, efficacy, therapeutic effects and potential advantages of our T cell receptor (TCR)-engineered T cell, or TCR-T, therapy product candidates;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preclinical studies being predictive of clinical trial results;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the initiation, progress and expected results of our preclinical studies, clinical trials and our research and development programs;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our ability to submit applications for, and obtain and, if approved, maintain regulatory approvals for our TCR-T therapy product candidates;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clinical trial results being predictive of continued development and commercial success of our product candidates;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relating to developing and commercializing our TCR-T therapy product candidates, if approved, including sales strategy;</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the size of the addressable market for our TCR-T therapy product candidates;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manufacturing capabilities and the scalable nature of our manufacturing process;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expenses, future milestone payments and revenue, capital requirements and needs for additional financing;</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competition;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growth strategies;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or retain key personnel;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development partnerships and collaborations;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federal, state and foreign regulatory requirements;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U.S. and foreign countries;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intellectual property protection for our proprietary platform technology and our product candidates;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trends and challenges in our business and the market in which we operate;</w:t>
      </w:r>
    </w:p>
    <w:p>
      <w:pPr>
        <w:spacing w:after="0" w:line="96" w:lineRule="exact"/>
        <w:rPr>
          <w:rFonts w:ascii="Times New Roman" w:cs="Times New Roman" w:eastAsia="Times New Roman" w:hAnsi="Times New Roman"/>
          <w:sz w:val="14"/>
          <w:szCs w:val="14"/>
          <w:color w:val="auto"/>
        </w:rPr>
      </w:pPr>
    </w:p>
    <w:p>
      <w:pPr>
        <w:ind w:left="1340" w:right="659" w:hanging="352"/>
        <w:spacing w:after="0" w:line="266"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existing capital resources to fund our future operating expenses and capital expenditure requirements;</w:t>
      </w:r>
    </w:p>
    <w:p>
      <w:pPr>
        <w:spacing w:after="0" w:line="251"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rising inflation rates and the impact on operating costs, liquidity and access to credit on any of the foregoing or other aspects of our business operations;</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68"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global economic uncertainty and financial market volatility caused by political instability, new or increased international tariffs and retaliatory tariffs, changes in U.S. policy, changes in governmental agencies, changes in international trade relationships and conflicts, such as the ongoing conflict between Russia and Ukraine, on any of the foregoing or other aspects of our business or operations including our ability to obtain additional financing; and</w:t>
      </w:r>
    </w:p>
    <w:p>
      <w:pPr>
        <w:spacing w:after="0" w:line="54"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use of our existing cash resources and our ability to obtain additional financing in the future.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2" w:name="page3"/>
    <w:bookmarkEnd w:id="2"/>
    <w:p>
      <w:pPr>
        <w:jc w:val="both"/>
        <w:ind w:left="640" w:right="659" w:firstLine="516"/>
        <w:spacing w:after="0" w:line="259" w:lineRule="auto"/>
        <w:rPr>
          <w:sz w:val="20"/>
          <w:szCs w:val="20"/>
          <w:color w:val="auto"/>
        </w:rPr>
      </w:pPr>
      <w:r>
        <w:rPr>
          <w:rFonts w:ascii="Times New Roman" w:cs="Times New Roman" w:eastAsia="Times New Roman" w:hAnsi="Times New Roman"/>
          <w:sz w:val="14"/>
          <w:szCs w:val="14"/>
          <w:color w:val="auto"/>
        </w:rPr>
        <w:t>Any forward-looking statements in this Quarterly Report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These forward-looking statements are subject to a number of risks, uncertainties and assumptions included in this Quarterly Report, particularly those described in the “Risk Factors” section in Part II, Item 1A of this Quarterly Report, that could cause actual results or events to differ materially from the forward-looking statements that we make. Moreover, we operate in a very competitive and rapidly changing environment.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We may not actually achieve the plans, intentions or expectations disclosed in our forward-looking statements, and you should not place undue reliance on our forward-looking statements.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61" w:lineRule="exact"/>
        <w:rPr>
          <w:sz w:val="20"/>
          <w:szCs w:val="20"/>
          <w:color w:val="auto"/>
        </w:rPr>
      </w:pPr>
    </w:p>
    <w:p>
      <w:pPr>
        <w:jc w:val="both"/>
        <w:ind w:left="640" w:right="659" w:firstLine="516"/>
        <w:spacing w:after="0" w:line="262"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The forward-looking statements contained in this Quarterly Report are made as of the date of this Quarterly Report, and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Except as required by law, we assume no obligation to update or revise any forward-looking statements for any reason even if new information becomes available in the future.</w:t>
      </w:r>
    </w:p>
    <w:p>
      <w:pPr>
        <w:spacing w:after="0" w:line="59" w:lineRule="exact"/>
        <w:rPr>
          <w:sz w:val="20"/>
          <w:szCs w:val="20"/>
          <w:color w:val="auto"/>
        </w:rPr>
      </w:pPr>
    </w:p>
    <w:p>
      <w:pPr>
        <w:jc w:val="both"/>
        <w:ind w:left="640" w:right="659" w:firstLine="516"/>
        <w:spacing w:after="0" w:line="274" w:lineRule="auto"/>
        <w:rPr>
          <w:sz w:val="20"/>
          <w:szCs w:val="20"/>
          <w:color w:val="auto"/>
        </w:rPr>
      </w:pPr>
      <w:r>
        <w:rPr>
          <w:rFonts w:ascii="Times New Roman" w:cs="Times New Roman" w:eastAsia="Times New Roman" w:hAnsi="Times New Roman"/>
          <w:sz w:val="14"/>
          <w:szCs w:val="14"/>
          <w:color w:val="auto"/>
        </w:rPr>
        <w:t>You should read this Quarterly Report and the documents that we have filed as an exhibit to this Quarterly Report with the understanding that our actual future results, levels of activity, performance and events and circumstances may be materially different from what we expect.</w:t>
      </w:r>
    </w:p>
    <w:p>
      <w:pPr>
        <w:spacing w:after="0" w:line="50" w:lineRule="exact"/>
        <w:rPr>
          <w:sz w:val="20"/>
          <w:szCs w:val="20"/>
          <w:color w:val="auto"/>
        </w:rPr>
      </w:pPr>
    </w:p>
    <w:p>
      <w:pPr>
        <w:jc w:val="both"/>
        <w:ind w:left="640" w:right="659" w:firstLine="516"/>
        <w:spacing w:after="0" w:line="258" w:lineRule="auto"/>
        <w:rPr>
          <w:sz w:val="20"/>
          <w:szCs w:val="20"/>
          <w:color w:val="auto"/>
        </w:rPr>
      </w:pPr>
      <w:r>
        <w:rPr>
          <w:rFonts w:ascii="Times New Roman" w:cs="Times New Roman" w:eastAsia="Times New Roman" w:hAnsi="Times New Roman"/>
          <w:sz w:val="14"/>
          <w:szCs w:val="14"/>
          <w:color w:val="auto"/>
        </w:rPr>
        <w:t>In addition, this Quarterly Report contains estimates, projections and other information concerning our industry, our business and the markets for our product candidates, including data regarding the estimated size of such markets and the incidence of certain medical conditions. We obtained industry, market and similar data set forth in this Quarterly Report from our internal estimates and research, and from academic and industry research, publications, surveys and studies conducted by third parties, including governmental agencies. Industry publications and third-party research, surveys and studies generally indicate that their information has been obtained from sources believed to be reliable. Our estimates of the potential market opportunities for our product candidates include key assumptions based on our industry knowledge, industry publications and third-party research, surveys and studies, which may be based on a small sample size and fail to accurately reflect market opportunities. Information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us and third parties, industry, medical and general publications, government data and similar sources. This Quarterly Report contains summaries of certain provisions contained in some of the documents described herein, but reference is made to the actual documents for complete information. All of the summaries are qualified in their entirety by the actual documents.</w:t>
      </w:r>
    </w:p>
    <w:p>
      <w:pPr>
        <w:spacing w:after="0" w:line="69" w:lineRule="exact"/>
        <w:rPr>
          <w:sz w:val="20"/>
          <w:szCs w:val="20"/>
          <w:color w:val="auto"/>
        </w:rPr>
      </w:pPr>
    </w:p>
    <w:p>
      <w:pPr>
        <w:jc w:val="both"/>
        <w:ind w:left="640" w:right="659" w:firstLine="516"/>
        <w:spacing w:after="0" w:line="292" w:lineRule="auto"/>
        <w:rPr>
          <w:sz w:val="20"/>
          <w:szCs w:val="20"/>
          <w:color w:val="auto"/>
        </w:rPr>
      </w:pPr>
      <w:r>
        <w:rPr>
          <w:rFonts w:ascii="Times New Roman" w:cs="Times New Roman" w:eastAsia="Times New Roman" w:hAnsi="Times New Roman"/>
          <w:sz w:val="14"/>
          <w:szCs w:val="14"/>
          <w:color w:val="auto"/>
        </w:rPr>
        <w:t>Unless stated otherwise, references in this Quarterly Report to “us,” “we,” “our,” “our Company,” or “the Company” and similar terms refer to TScan Therapeutics, Inc.</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RISK FACTOR SUMMARY</w:t>
      </w:r>
    </w:p>
    <w:p>
      <w:pPr>
        <w:spacing w:after="0" w:line="99" w:lineRule="exact"/>
        <w:rPr>
          <w:sz w:val="20"/>
          <w:szCs w:val="20"/>
          <w:color w:val="auto"/>
        </w:rPr>
      </w:pPr>
    </w:p>
    <w:p>
      <w:pPr>
        <w:jc w:val="both"/>
        <w:ind w:left="640" w:right="659" w:firstLine="516"/>
        <w:spacing w:after="0" w:line="274" w:lineRule="auto"/>
        <w:rPr>
          <w:sz w:val="20"/>
          <w:szCs w:val="20"/>
          <w:color w:val="auto"/>
        </w:rPr>
      </w:pPr>
      <w:r>
        <w:rPr>
          <w:rFonts w:ascii="Times New Roman" w:cs="Times New Roman" w:eastAsia="Times New Roman" w:hAnsi="Times New Roman"/>
          <w:sz w:val="14"/>
          <w:szCs w:val="14"/>
          <w:color w:val="auto"/>
        </w:rPr>
        <w:t>Our business operations are subject to numerous risks that, if realized, could materially and adversely affect our business, financial condition, results of operations, and future growth prospects. These risks are discussed more fully in Part II, Item 1A. “Risk Factors” in this Quarterly Report on Form 10-Q. These risks include, but are not limited to, the following:</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99" w:lineRule="exact"/>
        <w:rPr>
          <w:sz w:val="20"/>
          <w:szCs w:val="20"/>
          <w:color w:val="auto"/>
        </w:rPr>
      </w:pPr>
    </w:p>
    <w:p>
      <w:pPr>
        <w:ind w:left="1340" w:right="65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significant losses since inception, and we expect to incur losses over the next several years and may not be able to achieve or sustain revenues or profitability in the future.</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depends upon the success of our proprietary platform.</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limited operating history may make it difficult to evaluate the success of our business to date and to assess our future viability.</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never generated any revenue from sales of our TCR-T therapy product candidates, and our ability to generate revenue from product sales and become profitable depends significantly on our success in a number of areas.</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need to obtain substantial additional funding to complete the development and any commercialization of our product candidates, if approved. If we are unable to raise this necessary capital when needed, we could be forced to delay, reduce or eliminate our product development programs, commercialization efforts or other operations.</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Raising additional capital may cause dilution to our existing stockholders, restrict our operations or require us to relinquish rights to our intellectual property or product candidates on unfavorable terms to us.</w:t>
      </w:r>
    </w:p>
    <w:p>
      <w:pPr>
        <w:spacing w:after="0" w:line="37" w:lineRule="exact"/>
        <w:rPr>
          <w:rFonts w:ascii="Times New Roman" w:cs="Times New Roman" w:eastAsia="Times New Roman" w:hAnsi="Times New Roman"/>
          <w:sz w:val="14"/>
          <w:szCs w:val="14"/>
          <w:color w:val="auto"/>
        </w:rPr>
      </w:pPr>
    </w:p>
    <w:p>
      <w:pPr>
        <w:jc w:val="both"/>
        <w:ind w:left="1340" w:right="639" w:hanging="352"/>
        <w:spacing w:after="0" w:line="274"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economic uncertainty and financial market volatility caused by political instability, changes in international trade relationships and conflicts could make it more difficult for us to access financing and could adversely affect our business and operations.</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Congress and the Trump administration have made and may make substantial changes to fiscal, tax, and other federal policies that may adversely affect our business.</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68"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Recent volatility in capital markets and lower market prices for many securities may affect our ability to access new capital through sales of shares of our common stock or issuance of indebtedness, which may impact our liquidity, limit our ability to grow our business, pursue acquisitions or improve our operating infrastructure and restrict our ability to compete in our markets.</w:t>
      </w:r>
    </w:p>
    <w:p>
      <w:pPr>
        <w:spacing w:after="0" w:line="54" w:lineRule="exact"/>
        <w:rPr>
          <w:rFonts w:ascii="Times New Roman" w:cs="Times New Roman" w:eastAsia="Times New Roman" w:hAnsi="Times New Roman"/>
          <w:sz w:val="14"/>
          <w:szCs w:val="14"/>
          <w:color w:val="auto"/>
        </w:rPr>
      </w:pPr>
    </w:p>
    <w:p>
      <w:pPr>
        <w:jc w:val="both"/>
        <w:ind w:left="1340" w:right="639" w:hanging="352"/>
        <w:spacing w:after="0" w:line="274"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our loan agreement place restrictions on our operating and financial flexibility. If we raise additional capital through debt financing, the terms of any new debt could further restrict our operating and financial flexibility.</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the Development of Our Product Candidates</w:t>
      </w:r>
    </w:p>
    <w:p>
      <w:pPr>
        <w:spacing w:after="0" w:line="99" w:lineRule="exact"/>
        <w:rPr>
          <w:sz w:val="20"/>
          <w:szCs w:val="20"/>
          <w:color w:val="auto"/>
        </w:rPr>
      </w:pPr>
    </w:p>
    <w:p>
      <w:pPr>
        <w:ind w:left="1340" w:right="65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approach to the discovery and development of product candidates based on our proprietary platform represents a novel approach to cancer treatment, which creates significant challenges for us.</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early in our development efforts.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50"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many of our personnel have extensive experience in clinical development and manufacturing at other companies, we have limited direct experience as a company in conducting clinical trials and managing a manufacturing facility for our product candidates.</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preclinical studies and clinical trials may fail to demonstrate adequately the safety, potency and purity of any of our product candidates, which would prevent or delay development, regulatory approval and commercialization.</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could be adversely affected by the effects of health epidemics in regions where we, our partners or other third parties on which we rely have significant manufacturing facilities, concentrations of potential clinical trial sites or other business operations.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85" w:right="1440" w:bottom="1440" w:gutter="0" w:footer="0" w:header="0"/>
        </w:sectPr>
      </w:pPr>
    </w:p>
    <w:bookmarkStart w:id="4" w:name="page5"/>
    <w:bookmarkEnd w:id="4"/>
    <w:p>
      <w:pPr>
        <w:ind w:left="1340" w:right="659" w:hanging="352"/>
        <w:spacing w:after="0" w:line="292"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rely on third parties to manufacture our clinical product supplies, and we may rely on third parties to produce and process our product candidates, if licensed.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cannot guarantee that our product candidates will show any functionality in the solid tumor microenvironment.</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Allogeneic hematopoietic cell transplantation (HCT) is a high-risk procedure that may result in complications or adverse events for patients in our clinical trials including those unrelated to the use of our product candidates.</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 candidates may cause undesirable side effects or have other properties that could halt their clinical development, prevent their regulatory approval, require expansion of the trial size, limit their commercial potential, or result in other significant negative consequences.</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encounter difficulties enrolling patients in our clinical trials, our clinical development activities could be delayed or otherwise adversely affected.</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opportunities for our product candidates may be relatively small. In addition, our estimates of the prevalence of our target patient populations may be inaccurate.</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significant competition, and our operating results will suffer if we fail to compete effectively.</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Manufacturing</w:t>
      </w:r>
    </w:p>
    <w:p>
      <w:pPr>
        <w:spacing w:after="0" w:line="99" w:lineRule="exact"/>
        <w:rPr>
          <w:sz w:val="20"/>
          <w:szCs w:val="20"/>
          <w:color w:val="auto"/>
        </w:rPr>
      </w:pPr>
    </w:p>
    <w:p>
      <w:pPr>
        <w:jc w:val="both"/>
        <w:ind w:left="1340" w:right="659" w:hanging="352"/>
        <w:spacing w:after="0" w:line="268" w:lineRule="auto"/>
        <w:tabs>
          <w:tab w:leader="none" w:pos="1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and administering our product candidates is complex and we may encounter difficulties in production, particularly with respect to process development or scaling up of our manufacturing capabilities. If we encounter such difficulties, our ability to provide supply of our TCR-T therapy product candidates for clinical trials or, if approved, for commercial purposes, could be delayed or stopped.</w:t>
      </w:r>
    </w:p>
    <w:p>
      <w:pPr>
        <w:spacing w:after="0" w:line="54"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many of our personnel have experience in clinical manufacturing at other companies, we have limited experience as a company managing manufacturing for our product candidates, which will be costly and time-consuming, and which may not be successful.</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difficulty validating our manufacturing process as we manufacture TCR-T therapy product candidates from an increasingly diverse patient population for our clinical trials.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99" w:lineRule="exact"/>
        <w:rPr>
          <w:sz w:val="20"/>
          <w:szCs w:val="20"/>
          <w:color w:val="auto"/>
        </w:rPr>
      </w:pPr>
    </w:p>
    <w:p>
      <w:pPr>
        <w:ind w:left="1340" w:right="659" w:hanging="352"/>
        <w:spacing w:after="0" w:line="292" w:lineRule="auto"/>
        <w:tabs>
          <w:tab w:leader="none" w:pos="1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regulatory approval process is lengthy and time-consuming, and we may experience significant delays in the clinical development and regulatory approval of our product candidates.</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obtain regulatory approval for our product candidates under applicable regulatory requirements. The denial or delay of any such approval would delay commercialization of our product candidates and adversely impact our potential to generate revenue, our business and our results of operations.</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regulatory approval of our product candidates in one jurisdiction does not mean that we will be successful in obtaining regulatory approval of our product candidates in other jurisdictions.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99" w:lineRule="exact"/>
        <w:rPr>
          <w:sz w:val="20"/>
          <w:szCs w:val="20"/>
          <w:color w:val="auto"/>
        </w:rPr>
      </w:pPr>
    </w:p>
    <w:p>
      <w:pPr>
        <w:jc w:val="both"/>
        <w:ind w:left="1340" w:right="659" w:hanging="352"/>
        <w:spacing w:after="0" w:line="268" w:lineRule="auto"/>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obtain and maintain patent protection for any product candidates we develop and for our technology, or if the scope of the patent protection obtained is not sufficiently broad, our competitors could develop and commercialize products, product candidates and technology similar or identical to ours, and our ability to successfully commercialize any product candidates we may develop and our technology may be adversely affected.</w:t>
      </w:r>
    </w:p>
    <w:p>
      <w:pPr>
        <w:spacing w:after="0" w:line="54"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currently, and expect in the future to be, party to material license or collaboration agreements, which may impose numerous obligations and restrictions on us.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claims of intellectual property infringement, misappropriation or other violations may prevent or delay our product candidate discovery and development efforts.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Reliance on Third Parties</w:t>
      </w:r>
    </w:p>
    <w:p>
      <w:pPr>
        <w:spacing w:after="0" w:line="99" w:lineRule="exact"/>
        <w:rPr>
          <w:sz w:val="20"/>
          <w:szCs w:val="20"/>
          <w:color w:val="auto"/>
        </w:rPr>
      </w:pPr>
    </w:p>
    <w:p>
      <w:pPr>
        <w:jc w:val="both"/>
        <w:ind w:left="1340" w:right="659" w:hanging="352"/>
        <w:spacing w:after="0" w:line="274" w:lineRule="auto"/>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 parties to help us conduct our clinical trials. If these third parties do not properly and successfully carry out their contractual duties or meet expected deadlines, we may not be able to obtain regulatory approval of or commercialize our product candidates.</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 the past and may in the future form or seek collaborations or strategic alliances or enter into additional licensing arrangements, and we may not realize the benefits of such collaborations, alliances or licensing arrangements.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99" w:lineRule="exact"/>
        <w:rPr>
          <w:sz w:val="20"/>
          <w:szCs w:val="20"/>
          <w:color w:val="auto"/>
        </w:rPr>
      </w:pPr>
    </w:p>
    <w:p>
      <w:pPr>
        <w:ind w:left="1340" w:hanging="352"/>
        <w:spacing w:after="0"/>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Rising inflation rates may result in increased operating costs and reduced liquidity and affect our ability to access credit.</w:t>
      </w:r>
    </w:p>
    <w:p>
      <w:pPr>
        <w:spacing w:after="0" w:line="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50"/>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9"/>
        </w:trPr>
        <w:tc>
          <w:tcPr>
            <w:tcW w:w="1300" w:type="dxa"/>
            <w:vAlign w:val="bottom"/>
            <w:gridSpan w:val="3"/>
          </w:tcPr>
          <w:p>
            <w:pPr>
              <w:ind w:left="520"/>
              <w:spacing w:after="0" w:line="139" w:lineRule="exact"/>
              <w:rPr>
                <w:sz w:val="20"/>
                <w:szCs w:val="20"/>
                <w:color w:val="auto"/>
              </w:rPr>
            </w:pPr>
            <w:r>
              <w:rPr>
                <w:rFonts w:ascii="Times New Roman" w:cs="Times New Roman" w:eastAsia="Times New Roman" w:hAnsi="Times New Roman"/>
                <w:sz w:val="14"/>
                <w:szCs w:val="14"/>
                <w:b w:val="1"/>
                <w:bCs w:val="1"/>
                <w:color w:val="auto"/>
              </w:rPr>
              <w:t>PART I.</w:t>
            </w:r>
          </w:p>
        </w:tc>
        <w:tc>
          <w:tcPr>
            <w:tcW w:w="6480" w:type="dxa"/>
            <w:vAlign w:val="bottom"/>
            <w:gridSpan w:val="15"/>
          </w:tcPr>
          <w:p>
            <w:pPr>
              <w:spacing w:after="0" w:line="139" w:lineRule="exact"/>
              <w:rPr>
                <w:sz w:val="20"/>
                <w:szCs w:val="20"/>
                <w:color w:val="auto"/>
              </w:rPr>
            </w:pPr>
            <w:r>
              <w:rPr>
                <w:rFonts w:ascii="Times New Roman" w:cs="Times New Roman" w:eastAsia="Times New Roman" w:hAnsi="Times New Roman"/>
                <w:sz w:val="14"/>
                <w:szCs w:val="14"/>
                <w:color w:val="0000FF"/>
              </w:rPr>
              <w:t>FINANCIAL INFORMATION</w:t>
            </w:r>
          </w:p>
        </w:tc>
        <w:tc>
          <w:tcPr>
            <w:tcW w:w="4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7</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1.</w:t>
            </w:r>
          </w:p>
        </w:tc>
        <w:tc>
          <w:tcPr>
            <w:tcW w:w="648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Financial Statements (Unaudited)</w:t>
            </w:r>
          </w:p>
        </w:tc>
        <w:tc>
          <w:tcPr>
            <w:tcW w:w="4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7</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8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Balance Sheets</w:t>
            </w:r>
          </w:p>
        </w:tc>
        <w:tc>
          <w:tcPr>
            <w:tcW w:w="4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7</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8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Operations</w:t>
            </w:r>
          </w:p>
        </w:tc>
        <w:tc>
          <w:tcPr>
            <w:tcW w:w="4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8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Stockholders’ Equity</w:t>
            </w:r>
          </w:p>
        </w:tc>
        <w:tc>
          <w:tcPr>
            <w:tcW w:w="4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9</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8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4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10</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8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Notes to Unaudited Condensed Consolidated Financial Statements</w:t>
            </w:r>
          </w:p>
        </w:tc>
        <w:tc>
          <w:tcPr>
            <w:tcW w:w="4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11</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48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18</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1680" w:type="dxa"/>
            <w:vAlign w:val="bottom"/>
            <w:tcBorders>
              <w:left w:val="single" w:sz="8" w:color="0000FF"/>
            </w:tcBorders>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48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4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25</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48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Controls and Procedures</w:t>
            </w:r>
          </w:p>
        </w:tc>
        <w:tc>
          <w:tcPr>
            <w:tcW w:w="4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25</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vMerge w:val="continue"/>
          </w:tcPr>
          <w:p>
            <w:pPr>
              <w:spacing w:after="0"/>
              <w:rPr>
                <w:sz w:val="13"/>
                <w:szCs w:val="13"/>
                <w:color w:val="auto"/>
              </w:rPr>
            </w:pPr>
          </w:p>
        </w:tc>
        <w:tc>
          <w:tcPr>
            <w:tcW w:w="648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OTHER INFORMATION</w:t>
            </w:r>
          </w:p>
        </w:tc>
        <w:tc>
          <w:tcPr>
            <w:tcW w:w="4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1.</w:t>
            </w:r>
          </w:p>
        </w:tc>
        <w:tc>
          <w:tcPr>
            <w:tcW w:w="648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Legal Proceedings</w:t>
            </w:r>
          </w:p>
        </w:tc>
        <w:tc>
          <w:tcPr>
            <w:tcW w:w="4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4"/>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1A.</w:t>
            </w:r>
          </w:p>
        </w:tc>
        <w:tc>
          <w:tcPr>
            <w:tcW w:w="648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Risk Factors</w:t>
            </w:r>
          </w:p>
        </w:tc>
        <w:tc>
          <w:tcPr>
            <w:tcW w:w="4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27</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48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4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87</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48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4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87</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462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48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Mine Safety Disclosures</w:t>
            </w:r>
          </w:p>
        </w:tc>
        <w:tc>
          <w:tcPr>
            <w:tcW w:w="4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87</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08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5.</w:t>
            </w:r>
          </w:p>
        </w:tc>
        <w:tc>
          <w:tcPr>
            <w:tcW w:w="648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Other Information</w:t>
            </w:r>
          </w:p>
        </w:tc>
        <w:tc>
          <w:tcPr>
            <w:tcW w:w="4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87</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4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6.</w:t>
            </w:r>
          </w:p>
        </w:tc>
        <w:tc>
          <w:tcPr>
            <w:tcW w:w="6480" w:type="dxa"/>
            <w:vAlign w:val="bottom"/>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Exhibits</w:t>
            </w:r>
          </w:p>
        </w:tc>
        <w:tc>
          <w:tcPr>
            <w:tcW w:w="4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87</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300" w:type="dxa"/>
            <w:vAlign w:val="bottom"/>
            <w:gridSpan w:val="3"/>
          </w:tcPr>
          <w:p>
            <w:pPr>
              <w:ind w:left="520"/>
              <w:spacing w:after="0" w:line="152" w:lineRule="exact"/>
              <w:rPr>
                <w:sz w:val="20"/>
                <w:szCs w:val="20"/>
                <w:color w:val="auto"/>
              </w:rPr>
            </w:pPr>
            <w:r>
              <w:rPr>
                <w:rFonts w:ascii="Times New Roman" w:cs="Times New Roman" w:eastAsia="Times New Roman" w:hAnsi="Times New Roman"/>
                <w:sz w:val="14"/>
                <w:szCs w:val="14"/>
                <w:color w:val="0000FF"/>
              </w:rPr>
              <w:t>Signatures</w:t>
            </w:r>
          </w:p>
        </w:tc>
        <w:tc>
          <w:tcPr>
            <w:tcW w:w="20" w:type="dxa"/>
            <w:vAlign w:val="bottom"/>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8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89</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1"/>
        </w:trPr>
        <w:tc>
          <w:tcPr>
            <w:tcW w:w="5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gridSpan w:val="12"/>
          </w:tcPr>
          <w:p>
            <w:pPr>
              <w:ind w:left="3040"/>
              <w:spacing w:after="0"/>
              <w:rPr>
                <w:sz w:val="20"/>
                <w:szCs w:val="20"/>
                <w:color w:val="auto"/>
              </w:rPr>
            </w:pPr>
            <w:r>
              <w:rPr>
                <w:rFonts w:ascii="Times New Roman" w:cs="Times New Roman" w:eastAsia="Times New Roman" w:hAnsi="Times New Roman"/>
                <w:sz w:val="14"/>
                <w:szCs w:val="14"/>
                <w:color w:val="auto"/>
              </w:rPr>
              <w:t>6</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TScan Therapeutics, Inc.</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5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7"/>
        </w:trPr>
        <w:tc>
          <w:tcPr>
            <w:tcW w:w="5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1"/>
                <w:szCs w:val="11"/>
                <w:color w:val="auto"/>
              </w:rPr>
            </w:pP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128,057</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152,406</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4,802</w:t>
            </w:r>
          </w:p>
        </w:tc>
        <w:tc>
          <w:tcPr>
            <w:tcW w:w="80" w:type="dxa"/>
            <w:vAlign w:val="bottom"/>
          </w:tcPr>
          <w:p>
            <w:pPr>
              <w:spacing w:after="0"/>
              <w:rPr>
                <w:sz w:val="14"/>
                <w:szCs w:val="14"/>
                <w:color w:val="auto"/>
              </w:rPr>
            </w:pPr>
          </w:p>
        </w:tc>
      </w:tr>
      <w:tr>
        <w:trPr>
          <w:trHeight w:val="163"/>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132,766</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157,208</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8,706</w:t>
            </w:r>
          </w:p>
        </w:tc>
        <w:tc>
          <w:tcPr>
            <w:tcW w:w="80" w:type="dxa"/>
            <w:vAlign w:val="bottom"/>
          </w:tcPr>
          <w:p>
            <w:pPr>
              <w:spacing w:after="0"/>
              <w:rPr>
                <w:sz w:val="14"/>
                <w:szCs w:val="14"/>
                <w:color w:val="auto"/>
              </w:rPr>
            </w:pP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Right-of-use assets</w:t>
            </w: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56,006</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57,743</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5,031</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5,031</w:t>
            </w:r>
          </w:p>
        </w:tc>
        <w:tc>
          <w:tcPr>
            <w:tcW w:w="80" w:type="dxa"/>
            <w:vAlign w:val="bottom"/>
          </w:tcPr>
          <w:p>
            <w:pPr>
              <w:spacing w:after="0"/>
              <w:rPr>
                <w:sz w:val="14"/>
                <w:szCs w:val="14"/>
                <w:color w:val="auto"/>
              </w:rPr>
            </w:pPr>
          </w:p>
        </w:tc>
      </w:tr>
      <w:tr>
        <w:trPr>
          <w:trHeight w:val="172"/>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Long-term deposit and other assets</w:t>
            </w: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201,991</w:t>
            </w:r>
          </w:p>
        </w:tc>
        <w:tc>
          <w:tcPr>
            <w:tcW w:w="120" w:type="dxa"/>
            <w:vAlign w:val="bottom"/>
          </w:tcPr>
          <w:p>
            <w:pPr>
              <w:spacing w:after="0"/>
              <w:rPr>
                <w:sz w:val="14"/>
                <w:szCs w:val="14"/>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228,789</w:t>
            </w:r>
          </w:p>
        </w:tc>
        <w:tc>
          <w:tcPr>
            <w:tcW w:w="80" w:type="dxa"/>
            <w:vAlign w:val="bottom"/>
          </w:tcPr>
          <w:p>
            <w:pPr>
              <w:spacing w:after="0"/>
              <w:rPr>
                <w:sz w:val="14"/>
                <w:szCs w:val="14"/>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4"/>
        </w:trPr>
        <w:tc>
          <w:tcPr>
            <w:tcW w:w="53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7,668</w:t>
            </w:r>
          </w:p>
        </w:tc>
        <w:tc>
          <w:tcPr>
            <w:tcW w:w="80" w:type="dxa"/>
            <w:vAlign w:val="bottom"/>
          </w:tcPr>
          <w:p>
            <w:pPr>
              <w:spacing w:after="0"/>
              <w:rPr>
                <w:sz w:val="14"/>
                <w:szCs w:val="14"/>
                <w:color w:val="auto"/>
              </w:rPr>
            </w:pPr>
          </w:p>
        </w:tc>
      </w:tr>
      <w:tr>
        <w:trPr>
          <w:trHeight w:val="172"/>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Operating lease liability, current portion</w:t>
            </w: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7,438</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7,167</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Deferred revenue, current portion</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2,619</w:t>
            </w:r>
          </w:p>
        </w:tc>
        <w:tc>
          <w:tcPr>
            <w:tcW w:w="80" w:type="dxa"/>
            <w:vAlign w:val="bottom"/>
          </w:tcPr>
          <w:p>
            <w:pPr>
              <w:spacing w:after="0"/>
              <w:rPr>
                <w:sz w:val="14"/>
                <w:szCs w:val="14"/>
                <w:color w:val="auto"/>
              </w:rPr>
            </w:pPr>
          </w:p>
        </w:tc>
      </w:tr>
      <w:tr>
        <w:trPr>
          <w:trHeight w:val="163"/>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19,970</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18,695</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liability, net of current portion</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52,445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54,437</w:t>
            </w:r>
          </w:p>
        </w:tc>
        <w:tc>
          <w:tcPr>
            <w:tcW w:w="80" w:type="dxa"/>
            <w:vAlign w:val="bottom"/>
          </w:tcPr>
          <w:p>
            <w:pPr>
              <w:spacing w:after="0"/>
              <w:rPr>
                <w:sz w:val="14"/>
                <w:szCs w:val="14"/>
                <w:color w:val="auto"/>
              </w:rPr>
            </w:pPr>
          </w:p>
        </w:tc>
      </w:tr>
      <w:tr>
        <w:trPr>
          <w:trHeight w:val="172"/>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Long-term debt and accrued interest</w:t>
            </w: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32,654</w:t>
            </w: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32,534</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105,069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105,666</w:t>
            </w:r>
          </w:p>
        </w:tc>
        <w:tc>
          <w:tcPr>
            <w:tcW w:w="80" w:type="dxa"/>
            <w:vAlign w:val="bottom"/>
          </w:tcPr>
          <w:p>
            <w:pPr>
              <w:spacing w:after="0"/>
              <w:rPr>
                <w:sz w:val="14"/>
                <w:szCs w:val="14"/>
                <w:color w:val="auto"/>
              </w:rPr>
            </w:pP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Commitments and contingencies (Note 7)</w:t>
            </w: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7"/>
        </w:trPr>
        <w:tc>
          <w:tcPr>
            <w:tcW w:w="5320" w:type="dxa"/>
            <w:vAlign w:val="bottom"/>
            <w:shd w:val="clear" w:color="auto" w:fill="CFF0FC"/>
          </w:tcPr>
          <w:p>
            <w:pPr>
              <w:spacing w:after="0" w:line="157" w:lineRule="exact"/>
              <w:rPr>
                <w:sz w:val="20"/>
                <w:szCs w:val="20"/>
                <w:color w:val="auto"/>
              </w:rPr>
            </w:pPr>
            <w:r>
              <w:rPr>
                <w:rFonts w:ascii="Times New Roman" w:cs="Times New Roman" w:eastAsia="Times New Roman" w:hAnsi="Times New Roman"/>
                <w:sz w:val="14"/>
                <w:szCs w:val="14"/>
                <w:color w:val="auto"/>
              </w:rPr>
              <w:t>Preferred stock, $0.0001 par value; 10,000,000 shares authorized; no shares issued and</w:t>
            </w: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at March 31, 2026 and December 31, 2025</w:t>
            </w: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r>
      <w:tr>
        <w:trPr>
          <w:trHeight w:val="157"/>
        </w:trPr>
        <w:tc>
          <w:tcPr>
            <w:tcW w:w="532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Voting common stock, $0.0001 par value; 300,000,000 shares authorized; 55,824,722 and</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52,625,035 shares issued and outstanding at March 31, 2026 and December 31, 2025,</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6"/>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r>
      <w:tr>
        <w:trPr>
          <w:trHeight w:val="158"/>
        </w:trPr>
        <w:tc>
          <w:tcPr>
            <w:tcW w:w="5320" w:type="dxa"/>
            <w:vAlign w:val="bottom"/>
            <w:shd w:val="clear" w:color="auto" w:fill="CFF0FC"/>
          </w:tcPr>
          <w:p>
            <w:pPr>
              <w:spacing w:after="0" w:line="158" w:lineRule="exact"/>
              <w:rPr>
                <w:sz w:val="20"/>
                <w:szCs w:val="20"/>
                <w:color w:val="auto"/>
              </w:rPr>
            </w:pPr>
            <w:r>
              <w:rPr>
                <w:rFonts w:ascii="Times New Roman" w:cs="Times New Roman" w:eastAsia="Times New Roman" w:hAnsi="Times New Roman"/>
                <w:sz w:val="14"/>
                <w:szCs w:val="14"/>
                <w:color w:val="auto"/>
              </w:rPr>
              <w:t>Non-voting common stock, $0.0001 par value; 10,000,000 shares authorized;</w:t>
            </w: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8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4,276,588 shares issued and outstanding at March 31, 2026 and December 31, 2025</w:t>
            </w:r>
          </w:p>
        </w:tc>
        <w:tc>
          <w:tcPr>
            <w:tcW w:w="1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6"/>
                <w:szCs w:val="16"/>
                <w:color w:val="auto"/>
              </w:rPr>
            </w:pPr>
          </w:p>
        </w:tc>
      </w:tr>
      <w:tr>
        <w:trPr>
          <w:trHeight w:val="172"/>
        </w:trPr>
        <w:tc>
          <w:tcPr>
            <w:tcW w:w="5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630,443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627,979</w:t>
            </w:r>
          </w:p>
        </w:tc>
        <w:tc>
          <w:tcPr>
            <w:tcW w:w="80" w:type="dxa"/>
            <w:vAlign w:val="bottom"/>
          </w:tcPr>
          <w:p>
            <w:pPr>
              <w:spacing w:after="0"/>
              <w:rPr>
                <w:sz w:val="14"/>
                <w:szCs w:val="14"/>
                <w:color w:val="auto"/>
              </w:rPr>
            </w:pPr>
          </w:p>
        </w:tc>
      </w:tr>
      <w:tr>
        <w:trPr>
          <w:trHeight w:val="172"/>
        </w:trPr>
        <w:tc>
          <w:tcPr>
            <w:tcW w:w="5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(533,528)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(504,862)</w:t>
            </w:r>
          </w:p>
        </w:tc>
      </w:tr>
      <w:tr>
        <w:trPr>
          <w:trHeight w:val="163"/>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96,922</w:t>
            </w: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123,123</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201,991</w:t>
            </w:r>
          </w:p>
        </w:tc>
        <w:tc>
          <w:tcPr>
            <w:tcW w:w="120" w:type="dxa"/>
            <w:vAlign w:val="bottom"/>
          </w:tcPr>
          <w:p>
            <w:pPr>
              <w:spacing w:after="0"/>
              <w:rPr>
                <w:sz w:val="14"/>
                <w:szCs w:val="14"/>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228,789</w:t>
            </w:r>
          </w:p>
        </w:tc>
        <w:tc>
          <w:tcPr>
            <w:tcW w:w="80" w:type="dxa"/>
            <w:vAlign w:val="bottom"/>
          </w:tcPr>
          <w:p>
            <w:pPr>
              <w:spacing w:after="0"/>
              <w:rPr>
                <w:sz w:val="14"/>
                <w:szCs w:val="14"/>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-2809240</wp:posOffset>
            </wp:positionV>
            <wp:extent cx="4762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-2809240</wp:posOffset>
            </wp:positionV>
            <wp:extent cx="4762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-1684020</wp:posOffset>
            </wp:positionV>
            <wp:extent cx="4762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-1684020</wp:posOffset>
            </wp:positionV>
            <wp:extent cx="4762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-135890</wp:posOffset>
            </wp:positionV>
            <wp:extent cx="47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TScan Therapeutics, Inc.</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1"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3"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64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ind w:right="349"/>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Borders>
              <w:top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ind w:right="369"/>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1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29,788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8,217</w:t>
            </w:r>
          </w:p>
        </w:tc>
        <w:tc>
          <w:tcPr>
            <w:tcW w:w="180" w:type="dxa"/>
            <w:vAlign w:val="bottom"/>
            <w:tcBorders>
              <w:bottom w:val="single" w:sz="8" w:color="CFF0FC"/>
              <w:right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8,633</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30,121</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220" w:type="dxa"/>
            <w:vAlign w:val="bottom"/>
            <w:shd w:val="clear" w:color="auto" w:fill="CFF0FC"/>
          </w:tcPr>
          <w:p>
            <w:pPr>
              <w:spacing w:after="0"/>
              <w:rPr>
                <w:sz w:val="14"/>
                <w:szCs w:val="14"/>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(29,139)</w:t>
            </w:r>
          </w:p>
        </w:tc>
        <w:tc>
          <w:tcPr>
            <w:tcW w:w="2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(36,250)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8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(689)</w:t>
            </w:r>
          </w:p>
        </w:tc>
        <w:tc>
          <w:tcPr>
            <w:tcW w:w="2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(679)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Total other income</w:t>
            </w: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80" w:type="dxa"/>
            <w:vAlign w:val="bottom"/>
            <w:tcBorders>
              <w:bottom w:val="single" w:sz="8" w:color="CFF0FC"/>
              <w:right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2,123</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(28,666)</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53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220" w:type="dxa"/>
            <w:vAlign w:val="bottom"/>
            <w:shd w:val="clear" w:color="auto" w:fill="CFF0FC"/>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right w:val="single" w:sz="8" w:color="CFF0FC"/>
            </w:tcBorders>
            <w:gridSpan w:val="2"/>
            <w:shd w:val="clear" w:color="auto" w:fill="CFF0FC"/>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(0.22)</w:t>
            </w:r>
          </w:p>
        </w:tc>
        <w:tc>
          <w:tcPr>
            <w:tcW w:w="220" w:type="dxa"/>
            <w:vAlign w:val="bottom"/>
            <w:shd w:val="clear" w:color="auto" w:fill="CFF0FC"/>
          </w:tcPr>
          <w:p>
            <w:pPr>
              <w:jc w:val="right"/>
              <w:ind w:right="6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FF0FC"/>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(0.26)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tcBorders>
              <w:top w:val="single" w:sz="8" w:color="CFF0FC"/>
            </w:tcBorders>
          </w:tcPr>
          <w:p>
            <w:pPr>
              <w:spacing w:after="0" w:line="144" w:lineRule="exact"/>
              <w:rPr>
                <w:sz w:val="20"/>
                <w:szCs w:val="20"/>
                <w:color w:val="auto"/>
              </w:rPr>
            </w:pPr>
            <w:r>
              <w:rPr>
                <w:rFonts w:ascii="Times New Roman" w:cs="Times New Roman" w:eastAsia="Times New Roman" w:hAnsi="Times New Roman"/>
                <w:sz w:val="14"/>
                <w:szCs w:val="14"/>
                <w:color w:val="auto"/>
              </w:rPr>
              <w:t>Weighted average common shares outstanding—basic and diluted</w:t>
            </w: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129,913,376</w:t>
            </w:r>
          </w:p>
        </w:tc>
        <w:tc>
          <w:tcPr>
            <w:tcW w:w="180" w:type="dxa"/>
            <w:vAlign w:val="bottom"/>
            <w:tcBorders>
              <w:top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129,678,572</w:t>
            </w:r>
          </w:p>
        </w:tc>
        <w:tc>
          <w:tcPr>
            <w:tcW w:w="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(28,666)</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(34,127)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(28,666)</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(34,182)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-1642745</wp:posOffset>
            </wp:positionV>
            <wp:extent cx="4762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-1642745</wp:posOffset>
            </wp:positionV>
            <wp:extent cx="4762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-967740</wp:posOffset>
            </wp:positionV>
            <wp:extent cx="476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-967740</wp:posOffset>
            </wp:positionV>
            <wp:extent cx="4762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-721995</wp:posOffset>
            </wp:positionV>
            <wp:extent cx="4762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-708660</wp:posOffset>
            </wp:positionV>
            <wp:extent cx="476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-721995</wp:posOffset>
            </wp:positionV>
            <wp:extent cx="47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-708660</wp:posOffset>
            </wp:positionV>
            <wp:extent cx="47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-19685</wp:posOffset>
            </wp:positionV>
            <wp:extent cx="4762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-6350</wp:posOffset>
            </wp:positionV>
            <wp:extent cx="4762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TScan Therapeutics, Inc.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1580" w:type="dxa"/>
            <w:vAlign w:val="bottom"/>
            <w:gridSpan w:val="4"/>
            <w:vMerge w:val="restart"/>
          </w:tcPr>
          <w:p>
            <w:pPr>
              <w:jc w:val="right"/>
              <w:ind w:right="387"/>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1"/>
                <w:szCs w:val="11"/>
                <w:color w:val="auto"/>
              </w:rPr>
            </w:pPr>
          </w:p>
        </w:tc>
        <w:tc>
          <w:tcPr>
            <w:tcW w:w="1540" w:type="dxa"/>
            <w:vAlign w:val="bottom"/>
            <w:gridSpan w:val="3"/>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Non-voting Common Stock</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0"/>
        </w:trPr>
        <w:tc>
          <w:tcPr>
            <w:tcW w:w="3000" w:type="dxa"/>
            <w:vAlign w:val="bottom"/>
          </w:tcPr>
          <w:p>
            <w:pPr>
              <w:spacing w:after="0"/>
              <w:rPr>
                <w:sz w:val="10"/>
                <w:szCs w:val="10"/>
                <w:color w:val="auto"/>
              </w:rPr>
            </w:pPr>
          </w:p>
        </w:tc>
        <w:tc>
          <w:tcPr>
            <w:tcW w:w="1580" w:type="dxa"/>
            <w:vAlign w:val="bottom"/>
            <w:tcBorders>
              <w:bottom w:val="single" w:sz="8" w:color="auto"/>
            </w:tcBorders>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300"/>
              <w:spacing w:after="0" w:line="121"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10"/>
                <w:szCs w:val="10"/>
                <w:color w:val="auto"/>
              </w:rPr>
            </w:pPr>
          </w:p>
        </w:tc>
        <w:tc>
          <w:tcPr>
            <w:tcW w:w="1000" w:type="dxa"/>
            <w:vAlign w:val="bottom"/>
            <w:gridSpan w:val="3"/>
          </w:tcPr>
          <w:p>
            <w:pPr>
              <w:jc w:val="center"/>
              <w:ind w:right="200"/>
              <w:spacing w:after="0" w:line="121"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80" w:type="dxa"/>
            <w:vAlign w:val="bottom"/>
            <w:gridSpan w:val="3"/>
          </w:tcPr>
          <w:p>
            <w:pPr>
              <w:jc w:val="right"/>
              <w:ind w:right="240"/>
              <w:spacing w:after="0" w:line="121"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60" w:type="dxa"/>
            <w:vAlign w:val="bottom"/>
          </w:tcPr>
          <w:p>
            <w:pPr>
              <w:spacing w:after="0"/>
              <w:rPr>
                <w:sz w:val="10"/>
                <w:szCs w:val="10"/>
                <w:color w:val="auto"/>
              </w:rPr>
            </w:pPr>
          </w:p>
        </w:tc>
        <w:tc>
          <w:tcPr>
            <w:tcW w:w="820" w:type="dxa"/>
            <w:vAlign w:val="bottom"/>
            <w:gridSpan w:val="2"/>
          </w:tcPr>
          <w:p>
            <w:pPr>
              <w:jc w:val="center"/>
              <w:ind w:right="180"/>
              <w:spacing w:after="0" w:line="121"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09"/>
        </w:trPr>
        <w:tc>
          <w:tcPr>
            <w:tcW w:w="3000" w:type="dxa"/>
            <w:vAlign w:val="bottom"/>
          </w:tcPr>
          <w:p>
            <w:pPr>
              <w:spacing w:after="0"/>
              <w:rPr>
                <w:sz w:val="9"/>
                <w:szCs w:val="9"/>
                <w:color w:val="auto"/>
              </w:rPr>
            </w:pPr>
          </w:p>
        </w:tc>
        <w:tc>
          <w:tcPr>
            <w:tcW w:w="760" w:type="dxa"/>
            <w:vAlign w:val="bottom"/>
            <w:tcBorders>
              <w:bottom w:val="single" w:sz="8" w:color="auto"/>
            </w:tcBorders>
          </w:tcPr>
          <w:p>
            <w:pPr>
              <w:jc w:val="right"/>
              <w:ind w:right="187"/>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67"/>
              <w:spacing w:after="0" w:line="109"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220" w:type="dxa"/>
            <w:vAlign w:val="bottom"/>
          </w:tcPr>
          <w:p>
            <w:pPr>
              <w:spacing w:after="0"/>
              <w:rPr>
                <w:sz w:val="9"/>
                <w:szCs w:val="9"/>
                <w:color w:val="auto"/>
              </w:rPr>
            </w:pPr>
          </w:p>
        </w:tc>
        <w:tc>
          <w:tcPr>
            <w:tcW w:w="760" w:type="dxa"/>
            <w:vAlign w:val="bottom"/>
            <w:tcBorders>
              <w:bottom w:val="single" w:sz="8" w:color="auto"/>
            </w:tcBorders>
          </w:tcPr>
          <w:p>
            <w:pPr>
              <w:jc w:val="right"/>
              <w:ind w:right="166"/>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9"/>
                <w:szCs w:val="9"/>
                <w:color w:val="auto"/>
              </w:rPr>
            </w:pPr>
          </w:p>
        </w:tc>
        <w:tc>
          <w:tcPr>
            <w:tcW w:w="56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27"/>
              <w:spacing w:after="0" w:line="109"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27"/>
              <w:spacing w:after="0" w:line="109" w:lineRule="exact"/>
              <w:rPr>
                <w:sz w:val="20"/>
                <w:szCs w:val="20"/>
                <w:color w:val="auto"/>
              </w:rPr>
            </w:pPr>
            <w:r>
              <w:rPr>
                <w:rFonts w:ascii="Times New Roman" w:cs="Times New Roman" w:eastAsia="Times New Roman" w:hAnsi="Times New Roman"/>
                <w:sz w:val="11"/>
                <w:szCs w:val="11"/>
                <w:b w:val="1"/>
                <w:bCs w:val="1"/>
                <w:color w:val="auto"/>
                <w:w w:val="93"/>
              </w:rPr>
              <w:t>Loss</w:t>
            </w: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27"/>
              <w:spacing w:after="0" w:line="109" w:lineRule="exact"/>
              <w:rPr>
                <w:sz w:val="20"/>
                <w:szCs w:val="20"/>
                <w:color w:val="auto"/>
              </w:rPr>
            </w:pPr>
            <w:r>
              <w:rPr>
                <w:rFonts w:ascii="Times New Roman" w:cs="Times New Roman" w:eastAsia="Times New Roman" w:hAnsi="Times New Roman"/>
                <w:sz w:val="11"/>
                <w:szCs w:val="11"/>
                <w:b w:val="1"/>
                <w:bCs w:val="1"/>
                <w:color w:val="auto"/>
              </w:rPr>
              <w:t>Deficit</w:t>
            </w: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27"/>
              <w:spacing w:after="0" w:line="109" w:lineRule="exact"/>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00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Balances at January 1, 2025</w:t>
            </w:r>
          </w:p>
        </w:tc>
        <w:tc>
          <w:tcPr>
            <w:tcW w:w="7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52,314,039</w:t>
            </w:r>
          </w:p>
        </w:tc>
        <w:tc>
          <w:tcPr>
            <w:tcW w:w="300" w:type="dxa"/>
            <w:vAlign w:val="bottom"/>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5</w:t>
            </w:r>
          </w:p>
        </w:tc>
        <w:tc>
          <w:tcPr>
            <w:tcW w:w="98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4,276,588</w:t>
            </w:r>
          </w:p>
        </w:tc>
        <w:tc>
          <w:tcPr>
            <w:tcW w:w="780" w:type="dxa"/>
            <w:vAlign w:val="bottom"/>
            <w:gridSpan w:val="2"/>
            <w:shd w:val="clear" w:color="auto" w:fill="CFF0FC"/>
          </w:tcPr>
          <w:p>
            <w:pPr>
              <w:jc w:val="right"/>
              <w:ind w:right="44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w:t>
            </w:r>
          </w:p>
        </w:tc>
        <w:tc>
          <w:tcPr>
            <w:tcW w:w="30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616,009</w:t>
            </w:r>
          </w:p>
        </w:tc>
        <w:tc>
          <w:tcPr>
            <w:tcW w:w="120" w:type="dxa"/>
            <w:vAlign w:val="bottom"/>
            <w:shd w:val="clear" w:color="auto" w:fill="CFF0FC"/>
          </w:tcPr>
          <w:p>
            <w:pPr>
              <w:spacing w:after="0"/>
              <w:rPr>
                <w:sz w:val="9"/>
                <w:szCs w:val="9"/>
                <w:color w:val="auto"/>
              </w:rPr>
            </w:pPr>
          </w:p>
        </w:tc>
        <w:tc>
          <w:tcPr>
            <w:tcW w:w="16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51</w:t>
            </w:r>
          </w:p>
        </w:tc>
        <w:tc>
          <w:tcPr>
            <w:tcW w:w="200" w:type="dxa"/>
            <w:vAlign w:val="bottom"/>
            <w:shd w:val="clear" w:color="auto" w:fill="CFF0FC"/>
          </w:tcPr>
          <w:p>
            <w:pPr>
              <w:spacing w:after="0"/>
              <w:rPr>
                <w:sz w:val="9"/>
                <w:szCs w:val="9"/>
                <w:color w:val="auto"/>
              </w:rPr>
            </w:pPr>
          </w:p>
        </w:tc>
        <w:tc>
          <w:tcPr>
            <w:tcW w:w="120" w:type="dxa"/>
            <w:vAlign w:val="bottom"/>
            <w:shd w:val="clear" w:color="auto" w:fill="CFF0FC"/>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(375,096)</w:t>
            </w:r>
          </w:p>
        </w:tc>
        <w:tc>
          <w:tcPr>
            <w:tcW w:w="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240,970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3,414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3,414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0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7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(34,127)</w:t>
            </w:r>
          </w:p>
        </w:tc>
        <w:tc>
          <w:tcPr>
            <w:tcW w:w="6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(34,127)</w:t>
            </w:r>
          </w:p>
        </w:tc>
        <w:tc>
          <w:tcPr>
            <w:tcW w:w="0" w:type="dxa"/>
            <w:vAlign w:val="bottom"/>
          </w:tcPr>
          <w:p>
            <w:pPr>
              <w:spacing w:after="0"/>
              <w:rPr>
                <w:sz w:val="1"/>
                <w:szCs w:val="1"/>
                <w:color w:val="auto"/>
              </w:rPr>
            </w:pPr>
          </w:p>
        </w:tc>
      </w:tr>
      <w:tr>
        <w:trPr>
          <w:trHeight w:val="118"/>
        </w:trPr>
        <w:tc>
          <w:tcPr>
            <w:tcW w:w="30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Unrealized loss on available-for-sale securities</w:t>
            </w: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(55)</w:t>
            </w:r>
          </w:p>
        </w:tc>
        <w:tc>
          <w:tcPr>
            <w:tcW w:w="12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(55)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0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Balances at March 31, 2025</w:t>
            </w:r>
          </w:p>
        </w:tc>
        <w:tc>
          <w:tcPr>
            <w:tcW w:w="7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52,314,039</w:t>
            </w:r>
          </w:p>
        </w:tc>
        <w:tc>
          <w:tcPr>
            <w:tcW w:w="300" w:type="dxa"/>
            <w:vAlign w:val="bottom"/>
            <w:gridSpan w:val="2"/>
            <w:shd w:val="clear" w:color="auto" w:fill="CFF0FC"/>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5</w:t>
            </w:r>
          </w:p>
        </w:tc>
        <w:tc>
          <w:tcPr>
            <w:tcW w:w="98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4,276,588</w:t>
            </w:r>
          </w:p>
        </w:tc>
        <w:tc>
          <w:tcPr>
            <w:tcW w:w="780" w:type="dxa"/>
            <w:vAlign w:val="bottom"/>
            <w:gridSpan w:val="2"/>
            <w:shd w:val="clear" w:color="auto" w:fill="CFF0FC"/>
          </w:tcPr>
          <w:p>
            <w:pPr>
              <w:jc w:val="right"/>
              <w:ind w:right="44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1</w:t>
            </w:r>
          </w:p>
        </w:tc>
        <w:tc>
          <w:tcPr>
            <w:tcW w:w="300" w:type="dxa"/>
            <w:vAlign w:val="bottom"/>
            <w:gridSpan w:val="2"/>
            <w:shd w:val="clear" w:color="auto" w:fill="CFF0FC"/>
          </w:tcPr>
          <w:p>
            <w:pPr>
              <w:jc w:val="right"/>
              <w:ind w:right="20"/>
              <w:spacing w:after="0" w:line="109"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619,423</w:t>
            </w:r>
          </w:p>
        </w:tc>
        <w:tc>
          <w:tcPr>
            <w:tcW w:w="12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(4)</w:t>
            </w:r>
          </w:p>
        </w:tc>
        <w:tc>
          <w:tcPr>
            <w:tcW w:w="120" w:type="dxa"/>
            <w:vAlign w:val="bottom"/>
            <w:shd w:val="clear" w:color="auto" w:fill="CFF0FC"/>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(409,223)</w:t>
            </w:r>
          </w:p>
        </w:tc>
        <w:tc>
          <w:tcPr>
            <w:tcW w:w="6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09" w:lineRule="exact"/>
              <w:rPr>
                <w:sz w:val="20"/>
                <w:szCs w:val="20"/>
                <w:color w:val="auto"/>
              </w:rPr>
            </w:pPr>
            <w:r>
              <w:rPr>
                <w:rFonts w:ascii="Times New Roman" w:cs="Times New Roman" w:eastAsia="Times New Roman" w:hAnsi="Times New Roman"/>
                <w:sz w:val="11"/>
                <w:szCs w:val="11"/>
                <w:color w:val="auto"/>
              </w:rPr>
              <w:t>210,202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3000" w:type="dxa"/>
            <w:vAlign w:val="bottom"/>
          </w:tcPr>
          <w:p>
            <w:pPr>
              <w:spacing w:after="0" w:line="91" w:lineRule="exact"/>
              <w:rPr>
                <w:sz w:val="20"/>
                <w:szCs w:val="20"/>
                <w:color w:val="auto"/>
              </w:rPr>
            </w:pPr>
            <w:r>
              <w:rPr>
                <w:rFonts w:ascii="Times New Roman" w:cs="Times New Roman" w:eastAsia="Times New Roman" w:hAnsi="Times New Roman"/>
                <w:sz w:val="10"/>
                <w:szCs w:val="10"/>
                <w:b w:val="1"/>
                <w:bCs w:val="1"/>
                <w:color w:val="auto"/>
              </w:rPr>
              <w:t>Balances at January 1, 2026</w:t>
            </w:r>
          </w:p>
        </w:tc>
        <w:tc>
          <w:tcPr>
            <w:tcW w:w="7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52,625,035</w:t>
            </w:r>
          </w:p>
        </w:tc>
        <w:tc>
          <w:tcPr>
            <w:tcW w:w="300" w:type="dxa"/>
            <w:vAlign w:val="bottom"/>
            <w:gridSpan w:val="2"/>
          </w:tcPr>
          <w:p>
            <w:pPr>
              <w:jc w:val="right"/>
              <w:ind w:right="40"/>
              <w:spacing w:after="0" w:line="91"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5</w:t>
            </w:r>
          </w:p>
        </w:tc>
        <w:tc>
          <w:tcPr>
            <w:tcW w:w="98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10"/>
                <w:szCs w:val="10"/>
                <w:color w:val="auto"/>
              </w:rPr>
              <w:t>4,276,588</w:t>
            </w:r>
          </w:p>
        </w:tc>
        <w:tc>
          <w:tcPr>
            <w:tcW w:w="780" w:type="dxa"/>
            <w:vAlign w:val="bottom"/>
            <w:gridSpan w:val="2"/>
          </w:tcPr>
          <w:p>
            <w:pPr>
              <w:jc w:val="right"/>
              <w:ind w:right="446"/>
              <w:spacing w:after="0" w:line="91"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1</w:t>
            </w:r>
          </w:p>
        </w:tc>
        <w:tc>
          <w:tcPr>
            <w:tcW w:w="300" w:type="dxa"/>
            <w:vAlign w:val="bottom"/>
            <w:gridSpan w:val="2"/>
          </w:tcPr>
          <w:p>
            <w:pPr>
              <w:jc w:val="right"/>
              <w:ind w:right="20"/>
              <w:spacing w:after="0" w:line="91"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627,979</w:t>
            </w:r>
          </w:p>
        </w:tc>
        <w:tc>
          <w:tcPr>
            <w:tcW w:w="120" w:type="dxa"/>
            <w:vAlign w:val="bottom"/>
          </w:tcPr>
          <w:p>
            <w:pPr>
              <w:spacing w:after="0"/>
              <w:rPr>
                <w:sz w:val="7"/>
                <w:szCs w:val="7"/>
                <w:color w:val="auto"/>
              </w:rPr>
            </w:pPr>
          </w:p>
        </w:tc>
        <w:tc>
          <w:tcPr>
            <w:tcW w:w="16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7"/>
                <w:szCs w:val="7"/>
                <w:color w:val="auto"/>
              </w:rPr>
            </w:pPr>
          </w:p>
        </w:tc>
        <w:tc>
          <w:tcPr>
            <w:tcW w:w="120" w:type="dxa"/>
            <w:vAlign w:val="bottom"/>
          </w:tcPr>
          <w:p>
            <w:pPr>
              <w:jc w:val="right"/>
              <w:ind w:right="7"/>
              <w:spacing w:after="0" w:line="91"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160"/>
              <w:spacing w:after="0" w:line="91" w:lineRule="exact"/>
              <w:rPr>
                <w:sz w:val="20"/>
                <w:szCs w:val="20"/>
                <w:color w:val="auto"/>
              </w:rPr>
            </w:pPr>
            <w:r>
              <w:rPr>
                <w:rFonts w:ascii="Times New Roman" w:cs="Times New Roman" w:eastAsia="Times New Roman" w:hAnsi="Times New Roman"/>
                <w:sz w:val="10"/>
                <w:szCs w:val="10"/>
                <w:color w:val="auto"/>
              </w:rPr>
              <w:t>(504,862)</w:t>
            </w:r>
          </w:p>
        </w:tc>
        <w:tc>
          <w:tcPr>
            <w:tcW w:w="6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line="91" w:lineRule="exact"/>
              <w:rPr>
                <w:sz w:val="20"/>
                <w:szCs w:val="20"/>
                <w:color w:val="auto"/>
              </w:rPr>
            </w:pPr>
            <w:r>
              <w:rPr>
                <w:rFonts w:ascii="Times New Roman" w:cs="Times New Roman" w:eastAsia="Times New Roman" w:hAnsi="Times New Roman"/>
                <w:sz w:val="10"/>
                <w:szCs w:val="10"/>
                <w:color w:val="auto"/>
              </w:rPr>
              <w:t>123,123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30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Issuance of common stock upon exercise of pre-funded warrants</w:t>
            </w:r>
          </w:p>
        </w:tc>
        <w:tc>
          <w:tcPr>
            <w:tcW w:w="7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3,199,687</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1</w:t>
            </w:r>
          </w:p>
        </w:tc>
        <w:tc>
          <w:tcPr>
            <w:tcW w:w="98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2,465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2,465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0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7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60"/>
              <w:spacing w:after="0" w:line="119" w:lineRule="exact"/>
              <w:rPr>
                <w:sz w:val="20"/>
                <w:szCs w:val="20"/>
                <w:color w:val="auto"/>
              </w:rPr>
            </w:pPr>
            <w:r>
              <w:rPr>
                <w:rFonts w:ascii="Times New Roman" w:cs="Times New Roman" w:eastAsia="Times New Roman" w:hAnsi="Times New Roman"/>
                <w:sz w:val="11"/>
                <w:szCs w:val="11"/>
                <w:color w:val="auto"/>
              </w:rPr>
              <w:t>(28,666)</w:t>
            </w:r>
          </w:p>
        </w:tc>
        <w:tc>
          <w:tcPr>
            <w:tcW w:w="6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(28,666)</w:t>
            </w:r>
          </w:p>
        </w:tc>
        <w:tc>
          <w:tcPr>
            <w:tcW w:w="0" w:type="dxa"/>
            <w:vAlign w:val="bottom"/>
          </w:tcPr>
          <w:p>
            <w:pPr>
              <w:spacing w:after="0"/>
              <w:rPr>
                <w:sz w:val="1"/>
                <w:szCs w:val="1"/>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000" w:type="dxa"/>
            <w:vAlign w:val="bottom"/>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Balances at March 31, 2026</w:t>
            </w:r>
          </w:p>
        </w:tc>
        <w:tc>
          <w:tcPr>
            <w:tcW w:w="7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55,824,722</w:t>
            </w:r>
          </w:p>
        </w:tc>
        <w:tc>
          <w:tcPr>
            <w:tcW w:w="300" w:type="dxa"/>
            <w:vAlign w:val="bottom"/>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6</w:t>
            </w:r>
          </w:p>
        </w:tc>
        <w:tc>
          <w:tcPr>
            <w:tcW w:w="98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4,276,588</w:t>
            </w:r>
          </w:p>
        </w:tc>
        <w:tc>
          <w:tcPr>
            <w:tcW w:w="780" w:type="dxa"/>
            <w:vAlign w:val="bottom"/>
            <w:gridSpan w:val="2"/>
          </w:tcPr>
          <w:p>
            <w:pPr>
              <w:jc w:val="right"/>
              <w:ind w:right="446"/>
              <w:spacing w:after="0" w:line="10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1</w:t>
            </w:r>
          </w:p>
        </w:tc>
        <w:tc>
          <w:tcPr>
            <w:tcW w:w="30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630,443</w:t>
            </w:r>
          </w:p>
        </w:tc>
        <w:tc>
          <w:tcPr>
            <w:tcW w:w="120" w:type="dxa"/>
            <w:vAlign w:val="bottom"/>
          </w:tcPr>
          <w:p>
            <w:pPr>
              <w:spacing w:after="0"/>
              <w:rPr>
                <w:sz w:val="9"/>
                <w:szCs w:val="9"/>
                <w:color w:val="auto"/>
              </w:rPr>
            </w:pPr>
          </w:p>
        </w:tc>
        <w:tc>
          <w:tcPr>
            <w:tcW w:w="16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120" w:type="dxa"/>
            <w:vAlign w:val="bottom"/>
          </w:tcPr>
          <w:p>
            <w:pPr>
              <w:jc w:val="right"/>
              <w:ind w:right="7"/>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line="109" w:lineRule="exact"/>
              <w:rPr>
                <w:sz w:val="20"/>
                <w:szCs w:val="20"/>
                <w:color w:val="auto"/>
              </w:rPr>
            </w:pPr>
            <w:r>
              <w:rPr>
                <w:rFonts w:ascii="Times New Roman" w:cs="Times New Roman" w:eastAsia="Times New Roman" w:hAnsi="Times New Roman"/>
                <w:sz w:val="11"/>
                <w:szCs w:val="11"/>
                <w:color w:val="auto"/>
              </w:rPr>
              <w:t>(533,528)</w:t>
            </w:r>
          </w:p>
        </w:tc>
        <w:tc>
          <w:tcPr>
            <w:tcW w:w="6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color w:val="auto"/>
              </w:rPr>
              <w:t>96,922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2387600</wp:posOffset>
            </wp:positionH>
            <wp:positionV relativeFrom="paragraph">
              <wp:posOffset>-422275</wp:posOffset>
            </wp:positionV>
            <wp:extent cx="6794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-408305</wp:posOffset>
            </wp:positionV>
            <wp:extent cx="6794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-422275</wp:posOffset>
            </wp:positionV>
            <wp:extent cx="6794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-408305</wp:posOffset>
            </wp:positionV>
            <wp:extent cx="6794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3533140</wp:posOffset>
            </wp:positionH>
            <wp:positionV relativeFrom="paragraph">
              <wp:posOffset>-422275</wp:posOffset>
            </wp:positionV>
            <wp:extent cx="6794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3533140</wp:posOffset>
            </wp:positionH>
            <wp:positionV relativeFrom="paragraph">
              <wp:posOffset>-408305</wp:posOffset>
            </wp:positionV>
            <wp:extent cx="6794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-422275</wp:posOffset>
            </wp:positionV>
            <wp:extent cx="6794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-408305</wp:posOffset>
            </wp:positionV>
            <wp:extent cx="6794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-422275</wp:posOffset>
            </wp:positionV>
            <wp:extent cx="6159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-408305</wp:posOffset>
            </wp:positionV>
            <wp:extent cx="6159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-422275</wp:posOffset>
            </wp:positionV>
            <wp:extent cx="6159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-408305</wp:posOffset>
            </wp:positionV>
            <wp:extent cx="6159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-422275</wp:posOffset>
            </wp:positionV>
            <wp:extent cx="6159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-408305</wp:posOffset>
            </wp:positionV>
            <wp:extent cx="6159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-422275</wp:posOffset>
            </wp:positionV>
            <wp:extent cx="6159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-408305</wp:posOffset>
            </wp:positionV>
            <wp:extent cx="6159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-101600</wp:posOffset>
            </wp:positionV>
            <wp:extent cx="6794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-101600</wp:posOffset>
            </wp:positionV>
            <wp:extent cx="6794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3533140</wp:posOffset>
            </wp:positionH>
            <wp:positionV relativeFrom="paragraph">
              <wp:posOffset>-101600</wp:posOffset>
            </wp:positionV>
            <wp:extent cx="6794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-101600</wp:posOffset>
            </wp:positionV>
            <wp:extent cx="6794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4678680</wp:posOffset>
            </wp:positionH>
            <wp:positionV relativeFrom="paragraph">
              <wp:posOffset>-101600</wp:posOffset>
            </wp:positionV>
            <wp:extent cx="6159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5313045</wp:posOffset>
            </wp:positionH>
            <wp:positionV relativeFrom="paragraph">
              <wp:posOffset>-101600</wp:posOffset>
            </wp:positionV>
            <wp:extent cx="6159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-101600</wp:posOffset>
            </wp:positionV>
            <wp:extent cx="6159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-101600</wp:posOffset>
            </wp:positionV>
            <wp:extent cx="6159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385445</wp:posOffset>
            </wp:positionV>
            <wp:extent cx="722249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810" w:right="75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TScan Therapeutics, Inc.</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7" w:lineRule="exact"/>
        <w:rPr>
          <w:sz w:val="20"/>
          <w:szCs w:val="20"/>
          <w:color w:val="auto"/>
        </w:rPr>
      </w:pPr>
    </w:p>
    <w:tbl>
      <w:tblPr>
        <w:tblLayout w:type="fixed"/>
        <w:tblInd w:w="64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gridSpan w:val="5"/>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(28,666)</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(34,127)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expense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Accretion of marketable securities</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(1,277)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Non-cash interest expense related to note payable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Changes in current assets and liabilities: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Right-of-use assets and lease liabilities, net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Accrued expense and other liabilities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(982)</w:t>
            </w:r>
          </w:p>
        </w:tc>
        <w:tc>
          <w:tcPr>
            <w:tcW w:w="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(24,279)</w:t>
            </w:r>
          </w:p>
        </w:tc>
        <w:tc>
          <w:tcPr>
            <w:tcW w:w="2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(37,586)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(70)</w:t>
            </w:r>
          </w:p>
        </w:tc>
        <w:tc>
          <w:tcPr>
            <w:tcW w:w="2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(1,532)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(60,938)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(70)</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13,530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4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paid for debt issuance costs</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 financing costs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3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(decrease) increase in cash, cash equivalents and restricted cash</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(24,349)</w:t>
            </w:r>
          </w:p>
        </w:tc>
        <w:tc>
          <w:tcPr>
            <w:tcW w:w="22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(24,581)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1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157,437</w:t>
            </w:r>
          </w:p>
        </w:tc>
        <w:tc>
          <w:tcPr>
            <w:tcW w:w="1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183,720</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133,088</w:t>
            </w:r>
          </w:p>
        </w:tc>
        <w:tc>
          <w:tcPr>
            <w:tcW w:w="16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534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Summary of cash, cash equivalents and restricted cash reported within the condensed</w:t>
            </w: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128,057</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5,031</w:t>
            </w:r>
          </w:p>
        </w:tc>
        <w:tc>
          <w:tcPr>
            <w:tcW w:w="1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5,031</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133,088</w:t>
            </w:r>
          </w:p>
        </w:tc>
        <w:tc>
          <w:tcPr>
            <w:tcW w:w="16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53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16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Financing costs not yet paid</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Purchase of property and equipment in accounts payable and accrued liabilities</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-2604135</wp:posOffset>
            </wp:positionV>
            <wp:extent cx="4762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-2604135</wp:posOffset>
            </wp:positionV>
            <wp:extent cx="4762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-1929130</wp:posOffset>
            </wp:positionV>
            <wp:extent cx="4762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-1929130</wp:posOffset>
            </wp:positionV>
            <wp:extent cx="4762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-1478915</wp:posOffset>
            </wp:positionV>
            <wp:extent cx="4762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-1478915</wp:posOffset>
            </wp:positionV>
            <wp:extent cx="4762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-1254125</wp:posOffset>
            </wp:positionV>
            <wp:extent cx="4762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-1254125</wp:posOffset>
            </wp:positionV>
            <wp:extent cx="4762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-681355</wp:posOffset>
            </wp:positionV>
            <wp:extent cx="4762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-681355</wp:posOffset>
            </wp:positionV>
            <wp:extent cx="4762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TSCAN THERAPEUTICS, INC.</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 Nature of Business and Basis of Presentation</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Nature of Business</w:t>
      </w:r>
    </w:p>
    <w:p>
      <w:pPr>
        <w:spacing w:after="0" w:line="101"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TScan Therapeutics, Inc. and its wholly-owned subsidiary, TScan Securities Corporation (the Company), is a biotechnology company that was incorporated in Delaware on April 17, 2018 and has a principal place of business in Waltham, Massachusetts. The Company is focused on developing a pipeline of TCR-T therapy product candidates for the treatment of patients with cancer.</w:t>
      </w:r>
    </w:p>
    <w:p>
      <w:pPr>
        <w:spacing w:after="0" w:line="1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01"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 accompanying interim unaudited condensed consolidated financial statements have been prepared in accordance with generally accepted accounting principles in the United States (U.S. GAAP) and applicable rules and regulations of the Securities and Exchange Commission (the SEC) regarding interim financial reporting, and the instructions to Form 10-Q and Article 10 of Regulation S-X. Accordingly, they do not include all of the information and footnotes required by U.S. GAAP for complete financial statements. Management believes that the interim financial statements reflect all adjustments, which include only normal recurring adjustments necessary for the fair statement of the Company’s financial position, results of its operations and cash flows. The condensed consolidated financial statements include the accounts of TScan Therapeutics, Inc. and its subsidiary, TScan Securities Corporation. All intercompany balances and transactions have been eliminated in consolidation. The results for the three months ended March 31, 2026, are not necessarily indicative of results to be expected for the year ending December 31, 2026, any other interim periods, or any future year or period. The accompanying condensed consolidated financial statements should be read in conjunction with the Company’s audited consolidated financial statements and notes thereto included in the Company’s Annual Report on Form 10-K, which was filed with the SEC on March 4, 2026. In the opinion of the Company’s management, all adjustments (consisting of normal and recurring adjustments) considered necessary for a fair statement of the results for the interim periods presented have been included.</w:t>
      </w:r>
    </w:p>
    <w:p>
      <w:pPr>
        <w:spacing w:after="0" w:line="3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Risks, Uncertainties and Going Concern</w:t>
      </w:r>
    </w:p>
    <w:p>
      <w:pPr>
        <w:spacing w:after="0" w:line="101"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Company is subject to risks common to companies in the biotechnology industry, including, but not limited to, successful development of technology, obtaining additional funding, protection of proprietary technology, compliance with government regulations, risks of failure of preclinical studies and clinical trials, the need to obtain marketing approval for its product candidates and the ability to successfully market any products that receive approval, fluctuations in operating results, economic pressure impacting therapeutic pricing, dependence on key personnel, risks associated with changes in technologies, development by competitors of technological innovations and the ability to scale manufacturing to large scale production.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 capabilities. Even if the Company’s development efforts are successful, it is uncertain when, if ever, the Company will realize significant revenue from sales.</w:t>
      </w:r>
    </w:p>
    <w:p>
      <w:pPr>
        <w:spacing w:after="0" w:line="60"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capital stock, payments received under its license and collaboration agreements and debt financings. Since its inception, the Company has incurred recurring losses, including net losses of $28.7 million and $34.1 million for the three months ended March 31, 2026 and 2025, respectively. As of March 31, 2026, the Company had an accumulated deficit of $533.5 million. The Company expects to continue to generate operating losses in the foreseeable future. The Company expects that its cash and cash equivalents as of March 31, 2026, will be sufficient to fund the Company’s operations for at least the next 12 months from the date of the issuance of these financial statements.</w:t>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 Status</w:t>
      </w:r>
    </w:p>
    <w:p>
      <w:pPr>
        <w:spacing w:after="0" w:line="101"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The Company qualifies as “emerging growth company” as defined in the Jumpstart Our Business Startups Act of 2012 (JOBS Act)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12" w:name="page13"/>
    <w:bookmarkEnd w:id="12"/>
    <w:p>
      <w:pPr>
        <w:ind w:left="64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99"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accounting policies of the Company are set forth in Note 2 to the consolidated financial statements contained in the Company's Annual Report on Form 10-K for the year ended December 31, 2025, the accounting policies followed by the Company for interim financial reporting are consistent with the accounting policies therein.</w:t>
      </w:r>
    </w:p>
    <w:p>
      <w:pPr>
        <w:spacing w:after="0" w:line="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01"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In November 2024, the FASB issued Accounting Standards Update (ASU) 2024-04, Debt-Debt with Conversions and Other Options. ASU 2024-04 is intended to clarify requirements for determining whether certain settlements of convertible debt instruments, including convertible debt instruments with cash conversion features or convertible debt instruments that are not currently convertible, should be accounted for as an induced conversion. This ASU is effective for all entities for annual reporting periods beginning after December 15, 2025, and interim reporting periods within those annual reporting periods, with early adoption permitted. The Company adopted this guidance as of January 1, 2026, and there was no impact on the consolidated financial statements.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 Not Yet Effective</w:t>
      </w:r>
    </w:p>
    <w:p>
      <w:pPr>
        <w:spacing w:after="0" w:line="101"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In November 2024, the FASB issued Accounting Standards Update (ASU) 2024-03, Income Statement—Reporting Comprehensive Income—Expense Disaggregation Disclosures. ASU 2024-03 is intended to improve disclosures about a public business entity’s expense and provide more detailed information to investors about the types of expenses in commonly presented expense captions. The amendments in this ASU are effective for annual reporting periods beginning after December 15, 2026, and interim reporting periods beginning after December 15, 2027, with early adoption permitted. The Company is currently evaluating the potential impact of this guidance on its disclosures.</w:t>
      </w:r>
    </w:p>
    <w:p>
      <w:pPr>
        <w:spacing w:after="0" w:line="3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3. Fair Value Measurements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tables set forth by level, within the fair value hierarchy, the assets carried at fair value (in thousands):</w:t>
      </w:r>
    </w:p>
    <w:p>
      <w:pPr>
        <w:spacing w:after="0" w:line="210" w:lineRule="exact"/>
        <w:rPr>
          <w:sz w:val="20"/>
          <w:szCs w:val="20"/>
          <w:color w:val="auto"/>
        </w:rPr>
      </w:pPr>
    </w:p>
    <w:tbl>
      <w:tblPr>
        <w:tblLayout w:type="fixed"/>
        <w:tblInd w:w="640" w:type="dxa"/>
        <w:tblCellMar>
          <w:top w:w="0" w:type="dxa"/>
          <w:left w:w="0" w:type="dxa"/>
          <w:bottom w:w="0" w:type="dxa"/>
          <w:right w:w="0" w:type="dxa"/>
        </w:tblCellMar>
      </w:tblPr>
      <w:tr>
        <w:trPr>
          <w:trHeight w:val="137"/>
        </w:trPr>
        <w:tc>
          <w:tcPr>
            <w:tcW w:w="3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gridSpan w:val="9"/>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Fair value measurements at March 31, 2026 using</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3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jc w:val="center"/>
              <w:ind w:right="98"/>
              <w:spacing w:after="0" w:line="90" w:lineRule="exact"/>
              <w:rPr>
                <w:sz w:val="20"/>
                <w:szCs w:val="20"/>
                <w:color w:val="auto"/>
              </w:rPr>
            </w:pPr>
            <w:r>
              <w:rPr>
                <w:rFonts w:ascii="Times New Roman" w:cs="Times New Roman" w:eastAsia="Times New Roman" w:hAnsi="Times New Roman"/>
                <w:sz w:val="10"/>
                <w:szCs w:val="10"/>
                <w:b w:val="1"/>
                <w:bCs w:val="1"/>
                <w:color w:val="auto"/>
              </w:rPr>
              <w:t>Active</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center"/>
              <w:ind w:right="37"/>
              <w:spacing w:after="0" w:line="90" w:lineRule="exact"/>
              <w:rPr>
                <w:sz w:val="20"/>
                <w:szCs w:val="20"/>
                <w:color w:val="auto"/>
              </w:rPr>
            </w:pPr>
            <w:r>
              <w:rPr>
                <w:rFonts w:ascii="Times New Roman" w:cs="Times New Roman" w:eastAsia="Times New Roman" w:hAnsi="Times New Roman"/>
                <w:sz w:val="10"/>
                <w:szCs w:val="10"/>
                <w:b w:val="1"/>
                <w:bCs w:val="1"/>
                <w:color w:val="auto"/>
              </w:rPr>
              <w:t>Observable</w:t>
            </w:r>
          </w:p>
        </w:tc>
        <w:tc>
          <w:tcPr>
            <w:tcW w:w="160" w:type="dxa"/>
            <w:vAlign w:val="bottom"/>
          </w:tcPr>
          <w:p>
            <w:pPr>
              <w:spacing w:after="0"/>
              <w:rPr>
                <w:sz w:val="7"/>
                <w:szCs w:val="7"/>
                <w:color w:val="auto"/>
              </w:rPr>
            </w:pPr>
          </w:p>
        </w:tc>
        <w:tc>
          <w:tcPr>
            <w:tcW w:w="740" w:type="dxa"/>
            <w:vAlign w:val="bottom"/>
          </w:tcPr>
          <w:p>
            <w:pPr>
              <w:jc w:val="center"/>
              <w:ind w:left="5"/>
              <w:spacing w:after="0" w:line="90" w:lineRule="exact"/>
              <w:rPr>
                <w:sz w:val="20"/>
                <w:szCs w:val="20"/>
                <w:color w:val="auto"/>
              </w:rPr>
            </w:pPr>
            <w:r>
              <w:rPr>
                <w:rFonts w:ascii="Times New Roman" w:cs="Times New Roman" w:eastAsia="Times New Roman" w:hAnsi="Times New Roman"/>
                <w:sz w:val="10"/>
                <w:szCs w:val="10"/>
                <w:b w:val="1"/>
                <w:bCs w:val="1"/>
                <w:color w:val="auto"/>
              </w:rPr>
              <w:t>Unobservable</w:t>
            </w: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3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8"/>
              <w:spacing w:after="0" w:line="119" w:lineRule="exact"/>
              <w:rPr>
                <w:sz w:val="20"/>
                <w:szCs w:val="20"/>
                <w:color w:val="auto"/>
              </w:rPr>
            </w:pPr>
            <w:r>
              <w:rPr>
                <w:rFonts w:ascii="Times New Roman" w:cs="Times New Roman" w:eastAsia="Times New Roman" w:hAnsi="Times New Roman"/>
                <w:sz w:val="11"/>
                <w:szCs w:val="11"/>
                <w:b w:val="1"/>
                <w:bCs w:val="1"/>
                <w:color w:val="auto"/>
              </w:rPr>
              <w:t>Markets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37"/>
              <w:spacing w:after="0" w:line="119" w:lineRule="exact"/>
              <w:rPr>
                <w:sz w:val="20"/>
                <w:szCs w:val="20"/>
                <w:color w:val="auto"/>
              </w:rPr>
            </w:pPr>
            <w:r>
              <w:rPr>
                <w:rFonts w:ascii="Times New Roman" w:cs="Times New Roman" w:eastAsia="Times New Roman" w:hAnsi="Times New Roman"/>
                <w:sz w:val="11"/>
                <w:szCs w:val="11"/>
                <w:b w:val="1"/>
                <w:bCs w:val="1"/>
                <w:color w:val="auto"/>
              </w:rPr>
              <w:t>Inputs</w:t>
            </w:r>
          </w:p>
        </w:tc>
        <w:tc>
          <w:tcPr>
            <w:tcW w:w="160" w:type="dxa"/>
            <w:vAlign w:val="bottom"/>
          </w:tcPr>
          <w:p>
            <w:pPr>
              <w:spacing w:after="0"/>
              <w:rPr>
                <w:sz w:val="10"/>
                <w:szCs w:val="10"/>
                <w:color w:val="auto"/>
              </w:rPr>
            </w:pPr>
          </w:p>
        </w:tc>
        <w:tc>
          <w:tcPr>
            <w:tcW w:w="740" w:type="dxa"/>
            <w:vAlign w:val="bottom"/>
          </w:tcPr>
          <w:p>
            <w:pPr>
              <w:jc w:val="center"/>
              <w:ind w:left="5"/>
              <w:spacing w:after="0" w:line="119" w:lineRule="exact"/>
              <w:rPr>
                <w:sz w:val="20"/>
                <w:szCs w:val="20"/>
                <w:color w:val="auto"/>
              </w:rPr>
            </w:pPr>
            <w:r>
              <w:rPr>
                <w:rFonts w:ascii="Times New Roman" w:cs="Times New Roman" w:eastAsia="Times New Roman" w:hAnsi="Times New Roman"/>
                <w:sz w:val="11"/>
                <w:szCs w:val="11"/>
                <w:b w:val="1"/>
                <w:bCs w:val="1"/>
                <w:color w:val="auto"/>
              </w:rPr>
              <w:t>Inputs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3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60" w:type="dxa"/>
            <w:vAlign w:val="bottom"/>
          </w:tcPr>
          <w:p>
            <w:pPr>
              <w:spacing w:after="0"/>
              <w:rPr>
                <w:sz w:val="11"/>
                <w:szCs w:val="11"/>
                <w:color w:val="auto"/>
              </w:rPr>
            </w:pPr>
          </w:p>
        </w:tc>
        <w:tc>
          <w:tcPr>
            <w:tcW w:w="740" w:type="dxa"/>
            <w:vAlign w:val="bottom"/>
          </w:tcPr>
          <w:p>
            <w:pPr>
              <w:jc w:val="center"/>
              <w:ind w:left="5"/>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Assets</w:t>
            </w:r>
          </w:p>
        </w:tc>
        <w:tc>
          <w:tcPr>
            <w:tcW w:w="8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Cash equivalents – money market funds</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123,891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605"/>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123,891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Total financial assets</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123,891</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605"/>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123,891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 measurements at December 31, 2025 using</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jc w:val="center"/>
              <w:ind w:right="98"/>
              <w:spacing w:after="0" w:line="90" w:lineRule="exact"/>
              <w:rPr>
                <w:sz w:val="20"/>
                <w:szCs w:val="20"/>
                <w:color w:val="auto"/>
              </w:rPr>
            </w:pPr>
            <w:r>
              <w:rPr>
                <w:rFonts w:ascii="Times New Roman" w:cs="Times New Roman" w:eastAsia="Times New Roman" w:hAnsi="Times New Roman"/>
                <w:sz w:val="10"/>
                <w:szCs w:val="10"/>
                <w:b w:val="1"/>
                <w:bCs w:val="1"/>
                <w:color w:val="auto"/>
              </w:rPr>
              <w:t>Active</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center"/>
              <w:ind w:right="37"/>
              <w:spacing w:after="0" w:line="90" w:lineRule="exact"/>
              <w:rPr>
                <w:sz w:val="20"/>
                <w:szCs w:val="20"/>
                <w:color w:val="auto"/>
              </w:rPr>
            </w:pPr>
            <w:r>
              <w:rPr>
                <w:rFonts w:ascii="Times New Roman" w:cs="Times New Roman" w:eastAsia="Times New Roman" w:hAnsi="Times New Roman"/>
                <w:sz w:val="10"/>
                <w:szCs w:val="10"/>
                <w:b w:val="1"/>
                <w:bCs w:val="1"/>
                <w:color w:val="auto"/>
              </w:rPr>
              <w:t>Observable</w:t>
            </w:r>
          </w:p>
        </w:tc>
        <w:tc>
          <w:tcPr>
            <w:tcW w:w="160" w:type="dxa"/>
            <w:vAlign w:val="bottom"/>
          </w:tcPr>
          <w:p>
            <w:pPr>
              <w:spacing w:after="0"/>
              <w:rPr>
                <w:sz w:val="7"/>
                <w:szCs w:val="7"/>
                <w:color w:val="auto"/>
              </w:rPr>
            </w:pPr>
          </w:p>
        </w:tc>
        <w:tc>
          <w:tcPr>
            <w:tcW w:w="740" w:type="dxa"/>
            <w:vAlign w:val="bottom"/>
          </w:tcPr>
          <w:p>
            <w:pPr>
              <w:jc w:val="center"/>
              <w:ind w:left="5"/>
              <w:spacing w:after="0" w:line="90" w:lineRule="exact"/>
              <w:rPr>
                <w:sz w:val="20"/>
                <w:szCs w:val="20"/>
                <w:color w:val="auto"/>
              </w:rPr>
            </w:pPr>
            <w:r>
              <w:rPr>
                <w:rFonts w:ascii="Times New Roman" w:cs="Times New Roman" w:eastAsia="Times New Roman" w:hAnsi="Times New Roman"/>
                <w:sz w:val="10"/>
                <w:szCs w:val="10"/>
                <w:b w:val="1"/>
                <w:bCs w:val="1"/>
                <w:color w:val="auto"/>
              </w:rPr>
              <w:t>Unobservable</w:t>
            </w: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3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8"/>
              <w:spacing w:after="0" w:line="119" w:lineRule="exact"/>
              <w:rPr>
                <w:sz w:val="20"/>
                <w:szCs w:val="20"/>
                <w:color w:val="auto"/>
              </w:rPr>
            </w:pPr>
            <w:r>
              <w:rPr>
                <w:rFonts w:ascii="Times New Roman" w:cs="Times New Roman" w:eastAsia="Times New Roman" w:hAnsi="Times New Roman"/>
                <w:sz w:val="11"/>
                <w:szCs w:val="11"/>
                <w:b w:val="1"/>
                <w:bCs w:val="1"/>
                <w:color w:val="auto"/>
              </w:rPr>
              <w:t>Markets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37"/>
              <w:spacing w:after="0" w:line="119" w:lineRule="exact"/>
              <w:rPr>
                <w:sz w:val="20"/>
                <w:szCs w:val="20"/>
                <w:color w:val="auto"/>
              </w:rPr>
            </w:pPr>
            <w:r>
              <w:rPr>
                <w:rFonts w:ascii="Times New Roman" w:cs="Times New Roman" w:eastAsia="Times New Roman" w:hAnsi="Times New Roman"/>
                <w:sz w:val="11"/>
                <w:szCs w:val="11"/>
                <w:b w:val="1"/>
                <w:bCs w:val="1"/>
                <w:color w:val="auto"/>
              </w:rPr>
              <w:t>Inputs</w:t>
            </w:r>
          </w:p>
        </w:tc>
        <w:tc>
          <w:tcPr>
            <w:tcW w:w="160" w:type="dxa"/>
            <w:vAlign w:val="bottom"/>
          </w:tcPr>
          <w:p>
            <w:pPr>
              <w:spacing w:after="0"/>
              <w:rPr>
                <w:sz w:val="10"/>
                <w:szCs w:val="10"/>
                <w:color w:val="auto"/>
              </w:rPr>
            </w:pPr>
          </w:p>
        </w:tc>
        <w:tc>
          <w:tcPr>
            <w:tcW w:w="740" w:type="dxa"/>
            <w:vAlign w:val="bottom"/>
          </w:tcPr>
          <w:p>
            <w:pPr>
              <w:jc w:val="center"/>
              <w:ind w:left="5"/>
              <w:spacing w:after="0" w:line="119" w:lineRule="exact"/>
              <w:rPr>
                <w:sz w:val="20"/>
                <w:szCs w:val="20"/>
                <w:color w:val="auto"/>
              </w:rPr>
            </w:pPr>
            <w:r>
              <w:rPr>
                <w:rFonts w:ascii="Times New Roman" w:cs="Times New Roman" w:eastAsia="Times New Roman" w:hAnsi="Times New Roman"/>
                <w:sz w:val="11"/>
                <w:szCs w:val="11"/>
                <w:b w:val="1"/>
                <w:bCs w:val="1"/>
                <w:color w:val="auto"/>
              </w:rPr>
              <w:t>Inputs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7"/>
        </w:trPr>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Assets</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60" w:type="dxa"/>
            <w:vAlign w:val="bottom"/>
          </w:tcPr>
          <w:p>
            <w:pPr>
              <w:spacing w:after="0"/>
              <w:rPr>
                <w:sz w:val="11"/>
                <w:szCs w:val="11"/>
                <w:color w:val="auto"/>
              </w:rPr>
            </w:pPr>
          </w:p>
        </w:tc>
        <w:tc>
          <w:tcPr>
            <w:tcW w:w="740" w:type="dxa"/>
            <w:vAlign w:val="bottom"/>
          </w:tcPr>
          <w:p>
            <w:pPr>
              <w:jc w:val="center"/>
              <w:ind w:left="5"/>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1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equivalents – money market funds</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146,196</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605"/>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146,196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Cash equivalents - government securities</w:t>
            </w: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Total financial assets</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148,183</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605"/>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148,183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-940435</wp:posOffset>
            </wp:positionV>
            <wp:extent cx="4762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-927100</wp:posOffset>
            </wp:positionV>
            <wp:extent cx="4762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-940435</wp:posOffset>
            </wp:positionV>
            <wp:extent cx="4762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-927100</wp:posOffset>
            </wp:positionV>
            <wp:extent cx="4762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-940435</wp:posOffset>
            </wp:positionV>
            <wp:extent cx="4762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-927100</wp:posOffset>
            </wp:positionV>
            <wp:extent cx="4762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-940435</wp:posOffset>
            </wp:positionV>
            <wp:extent cx="4762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-927100</wp:posOffset>
            </wp:positionV>
            <wp:extent cx="4762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-19685</wp:posOffset>
            </wp:positionV>
            <wp:extent cx="4762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-6350</wp:posOffset>
            </wp:positionV>
            <wp:extent cx="4762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-19685</wp:posOffset>
            </wp:positionV>
            <wp:extent cx="4762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-6350</wp:posOffset>
            </wp:positionV>
            <wp:extent cx="4762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-19685</wp:posOffset>
            </wp:positionV>
            <wp:extent cx="4762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-6350</wp:posOffset>
            </wp:positionV>
            <wp:extent cx="4762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23"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Money market funds and government securities are valued by the Company based on quoted market prices, which represent a Level 1 measurement within the fair value hierarchy. There were no transfers among Level 1, Level 2, or Level 3 categories in the periods presented.</w:t>
      </w:r>
    </w:p>
    <w:p>
      <w:pPr>
        <w:spacing w:after="0" w:line="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Assets and Liabilities Not Carried at Fair Value</w:t>
      </w:r>
    </w:p>
    <w:p>
      <w:pPr>
        <w:spacing w:after="0" w:line="101"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 carrying value of accounts payable and accrued expenses that are reported on the condensed consolidated balance sheets approximate fair value due to the short-term nature of these liabilities. Based on the borrowing rates currently available to the Company for bank loans with similar maturities, the fair value of long-term debt is approximately equal to its carrying amount as of March 31, 2026.</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13" w:name="page14"/>
    <w:bookmarkEnd w:id="13"/>
    <w:p>
      <w:pPr>
        <w:ind w:left="640"/>
        <w:spacing w:after="0"/>
        <w:rPr>
          <w:sz w:val="20"/>
          <w:szCs w:val="20"/>
          <w:color w:val="auto"/>
        </w:rPr>
      </w:pPr>
      <w:r>
        <w:rPr>
          <w:rFonts w:ascii="Times New Roman" w:cs="Times New Roman" w:eastAsia="Times New Roman" w:hAnsi="Times New Roman"/>
          <w:sz w:val="14"/>
          <w:szCs w:val="14"/>
          <w:b w:val="1"/>
          <w:bCs w:val="1"/>
          <w:color w:val="auto"/>
        </w:rPr>
        <w:t>4. Accrued Expenses and Other Current Liabilities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 (in thousands):</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150"/>
        </w:trPr>
        <w:tc>
          <w:tcPr>
            <w:tcW w:w="5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5"/>
        </w:trPr>
        <w:tc>
          <w:tcPr>
            <w:tcW w:w="53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r>
      <w:tr>
        <w:trPr>
          <w:trHeight w:val="16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employee compensation and benefits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4,757</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Accrued research and development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w:t>
            </w:r>
          </w:p>
        </w:tc>
        <w:tc>
          <w:tcPr>
            <w:tcW w:w="80" w:type="dxa"/>
            <w:vAlign w:val="bottom"/>
          </w:tcPr>
          <w:p>
            <w:pPr>
              <w:spacing w:after="0"/>
              <w:rPr>
                <w:sz w:val="14"/>
                <w:szCs w:val="14"/>
                <w:color w:val="auto"/>
              </w:rPr>
            </w:pP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consulting and professional services</w:t>
            </w:r>
          </w:p>
        </w:tc>
        <w:tc>
          <w:tcPr>
            <w:tcW w:w="1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Accrued legal services and license fee</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4"/>
                <w:szCs w:val="14"/>
                <w:color w:val="auto"/>
              </w:rPr>
            </w:pPr>
          </w:p>
        </w:tc>
      </w:tr>
      <w:tr>
        <w:trPr>
          <w:trHeight w:val="172"/>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3"/>
        </w:trPr>
        <w:tc>
          <w:tcPr>
            <w:tcW w:w="5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8,592</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7,668</w:t>
            </w:r>
          </w:p>
        </w:tc>
        <w:tc>
          <w:tcPr>
            <w:tcW w:w="80" w:type="dxa"/>
            <w:vAlign w:val="bottom"/>
          </w:tcPr>
          <w:p>
            <w:pPr>
              <w:spacing w:after="0"/>
              <w:rPr>
                <w:sz w:val="14"/>
                <w:szCs w:val="14"/>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-135890</wp:posOffset>
            </wp:positionV>
            <wp:extent cx="4762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-135890</wp:posOffset>
            </wp:positionV>
            <wp:extent cx="4762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328" w:lineRule="exact"/>
        <w:rPr>
          <w:sz w:val="20"/>
          <w:szCs w:val="20"/>
          <w:color w:val="auto"/>
        </w:rPr>
      </w:pPr>
    </w:p>
    <w:p>
      <w:pPr>
        <w:ind w:left="780" w:hanging="142"/>
        <w:spacing w:after="0"/>
        <w:tabs>
          <w:tab w:leader="none" w:pos="78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Stockholders' Equity</w:t>
      </w:r>
    </w:p>
    <w:p>
      <w:pPr>
        <w:spacing w:after="0" w:line="94" w:lineRule="exact"/>
        <w:rPr>
          <w:rFonts w:ascii="Times New Roman" w:cs="Times New Roman" w:eastAsia="Times New Roman" w:hAnsi="Times New Roman"/>
          <w:sz w:val="14"/>
          <w:szCs w:val="14"/>
          <w:b w:val="1"/>
          <w:bCs w:val="1"/>
          <w:color w:val="auto"/>
        </w:rPr>
      </w:pPr>
    </w:p>
    <w:p>
      <w:pPr>
        <w:ind w:left="9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ATM Program</w:t>
      </w:r>
    </w:p>
    <w:p>
      <w:pPr>
        <w:spacing w:after="0" w:line="101"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On May 16, 2023, the Company entered into a sales agreement (the Sales Agreement) with Wedbush Securities, Inc. (Wedbush), as sales agent, pursuant to which the Company could offer, issue and sell up to an aggregate amount of $75.0 million of shares of the Company's voting common stock, par value $0.0001 per share (Voting Common Stock), from time to time in “at-the-market” (ATM) offerings during the term of the Sales Agreement under a registration statement on Form S-3 (File No. 333-268260) filed with the SEC, which was declared effective on May 16, 2023. No Voting Common Stock has been sold under this Sales Agreement to date.</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Equity Offerings</w:t>
      </w:r>
    </w:p>
    <w:p>
      <w:pPr>
        <w:spacing w:after="0" w:line="101"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On June 1, 2023, the Company completed an underwritten public offering resulting in the issuance and sale of (a) 23,287,134 shares of Voting Common Stock, at a price of $2.00 per share, and (b) pre-funded warrants (Pre-Funded Warrants) to purchase up to 47,010,526 shares of the Voting Common Stock with an exercise price of $0.0001 per share. The Pre-Funded Warrants were issued at a purchase price of $1.9999 per warrant, resulting in aggregate net proceeds of $134.7 million after deducting underwriting discounts, commissions and other offering expenses, with $42.4 million allocated to the Voting Common Stock and $92.3 million allocated to Pre-Funded Warrants.</w:t>
      </w:r>
    </w:p>
    <w:p>
      <w:pPr>
        <w:spacing w:after="0" w:line="14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On April 24, 2024, the Company completed an underwritten public offering resulting in the issuance and sale of (a) 4,958,068 shares of Voting Common Stock, including the partial exercise of the underwriters’ option to purchase 2,485,487 additional shares of Voting Common Stock, at the closing market price on April 16, 2024, of $7.13 per share, and (b) Pre-Funded Warrants to purchase up to 18,577,419 shares of the Voting Common Stock with an exercise price of $0.0001 per share. The Pre-Funded Warrants were issued at a purchase price of $7.1299 per warrant, resulting in aggregate net proceeds of approximately $161.4 million after deducting underwriting discounts, commissions and other offering expenses, with $33.1 million allocated to the Voting Common Stock and $128.3 million allocated to Pre-Funded Warrants.</w:t>
      </w:r>
    </w:p>
    <w:p>
      <w:pPr>
        <w:spacing w:after="0" w:line="14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On December 27, 2024, the Company completed a registered direct offering with an existing investor for the issuance of Pre-Funded Warrants to purchase up to 7,500,000 shares of the Company's Voting Common Stock, with an exercise price of $0.0001 per warrant. The Pre-Funded Warrants were issued at a purchase price of $4.00 per warrant, resulting in gross proceeds of approximately $30.0 million, before deducting offering expenses of $0.2 million.</w:t>
      </w:r>
    </w:p>
    <w:p>
      <w:pPr>
        <w:spacing w:after="0" w:line="140"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Pre-Funded Warrants are immediately exercisable subject to certain ownership limitations, have an exercise price of $0.0001 per share, may be exercised at any time and do not expire. The Pre-Funded Warrants were determined to be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the Pre-Funded Warrants do not provide any guarantee of value or return. As such, proceeds received from the issuance from the Pre-Funded Warrants were recorded as a component of stockholders’ equity within additional paid-in capital. During the three months ended March 31, 2026, the Company issued an aggregate of 3,199,687 shares of its common stock pursuant to the cashless exercise of 3,200,000 Pre-Funded Warrants at a weighted average exercise price of $0.0001 per share. The Company did not issue any common stock pursuant to the exercise of Pre-Funded Warrants during the three months ended March 31, 2025.</w:t>
      </w:r>
    </w:p>
    <w:p>
      <w:pPr>
        <w:spacing w:after="0" w:line="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Common Stock Reserved for Future Issuance</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Company has reserved the following shares of common stock for future issuance: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14" w:name="page15"/>
    <w:bookmarkEnd w:id="14"/>
    <w:tbl>
      <w:tblPr>
        <w:tblLayout w:type="fixed"/>
        <w:tblInd w:w="640" w:type="dxa"/>
        <w:tblCellMar>
          <w:top w:w="0" w:type="dxa"/>
          <w:left w:w="0" w:type="dxa"/>
          <w:bottom w:w="0" w:type="dxa"/>
          <w:right w:w="0" w:type="dxa"/>
        </w:tblCellMar>
      </w:tblPr>
      <w:tr>
        <w:trPr>
          <w:trHeight w:val="150"/>
        </w:trPr>
        <w:tc>
          <w:tcPr>
            <w:tcW w:w="5300" w:type="dxa"/>
            <w:vAlign w:val="bottom"/>
          </w:tcPr>
          <w:p>
            <w:pPr>
              <w:spacing w:after="0"/>
              <w:rPr>
                <w:sz w:val="13"/>
                <w:szCs w:val="13"/>
                <w:color w:val="auto"/>
              </w:rPr>
            </w:pP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60" w:type="dxa"/>
            <w:vAlign w:val="bottom"/>
          </w:tcPr>
          <w:p>
            <w:pPr>
              <w:spacing w:after="0"/>
              <w:rPr>
                <w:sz w:val="13"/>
                <w:szCs w:val="13"/>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5"/>
        </w:trPr>
        <w:tc>
          <w:tcPr>
            <w:tcW w:w="5300" w:type="dxa"/>
            <w:vAlign w:val="bottom"/>
          </w:tcPr>
          <w:p>
            <w:pPr>
              <w:spacing w:after="0"/>
              <w:rPr>
                <w:sz w:val="13"/>
                <w:szCs w:val="13"/>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13"/>
                <w:szCs w:val="13"/>
                <w:color w:val="auto"/>
              </w:rPr>
            </w:pPr>
          </w:p>
        </w:tc>
        <w:tc>
          <w:tcPr>
            <w:tcW w:w="11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r>
      <w:tr>
        <w:trPr>
          <w:trHeight w:val="16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options outstanding</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20,385,968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16,004,393</w:t>
            </w:r>
          </w:p>
        </w:tc>
        <w:tc>
          <w:tcPr>
            <w:tcW w:w="100" w:type="dxa"/>
            <w:vAlign w:val="bottom"/>
            <w:shd w:val="clear" w:color="auto" w:fill="CFF0FC"/>
          </w:tcPr>
          <w:p>
            <w:pPr>
              <w:spacing w:after="0"/>
              <w:rPr>
                <w:sz w:val="14"/>
                <w:szCs w:val="14"/>
                <w:color w:val="auto"/>
              </w:rPr>
            </w:pPr>
          </w:p>
        </w:tc>
      </w:tr>
      <w:tr>
        <w:trPr>
          <w:trHeight w:val="172"/>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Pre-Funded Warrants outstanding</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69,811,767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73,011,767</w:t>
            </w:r>
          </w:p>
        </w:tc>
        <w:tc>
          <w:tcPr>
            <w:tcW w:w="100" w:type="dxa"/>
            <w:vAlign w:val="bottom"/>
          </w:tcPr>
          <w:p>
            <w:pPr>
              <w:spacing w:after="0"/>
              <w:rPr>
                <w:sz w:val="14"/>
                <w:szCs w:val="14"/>
                <w:color w:val="auto"/>
              </w:rPr>
            </w:pPr>
          </w:p>
        </w:tc>
      </w:tr>
      <w:tr>
        <w:trPr>
          <w:trHeight w:val="172"/>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Shares available for future grant under 2021 Plan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8,246,983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7,432,023</w:t>
            </w:r>
          </w:p>
        </w:tc>
        <w:tc>
          <w:tcPr>
            <w:tcW w:w="100" w:type="dxa"/>
            <w:vAlign w:val="bottom"/>
            <w:shd w:val="clear" w:color="auto" w:fill="CFF0FC"/>
          </w:tcPr>
          <w:p>
            <w:pPr>
              <w:spacing w:after="0"/>
              <w:rPr>
                <w:sz w:val="14"/>
                <w:szCs w:val="14"/>
                <w:color w:val="auto"/>
              </w:rPr>
            </w:pPr>
          </w:p>
        </w:tc>
      </w:tr>
      <w:tr>
        <w:trPr>
          <w:trHeight w:val="172"/>
        </w:trPr>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Shares available for future issuance under 2021 ESPP</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1,885,582</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1,316,566</w:t>
            </w:r>
          </w:p>
        </w:tc>
        <w:tc>
          <w:tcPr>
            <w:tcW w:w="100" w:type="dxa"/>
            <w:vAlign w:val="bottom"/>
          </w:tcPr>
          <w:p>
            <w:pPr>
              <w:spacing w:after="0"/>
              <w:rPr>
                <w:sz w:val="14"/>
                <w:szCs w:val="14"/>
                <w:color w:val="auto"/>
              </w:rPr>
            </w:pPr>
          </w:p>
        </w:tc>
      </w:tr>
      <w:tr>
        <w:trPr>
          <w:trHeight w:val="203"/>
        </w:trPr>
        <w:tc>
          <w:tcPr>
            <w:tcW w:w="53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shares of common stock reserved</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100,330,300</w:t>
            </w:r>
          </w:p>
        </w:tc>
        <w:tc>
          <w:tcPr>
            <w:tcW w:w="160" w:type="dxa"/>
            <w:vAlign w:val="bottom"/>
            <w:tcBorders>
              <w:bottom w:val="single" w:sz="8" w:color="CFF0FC"/>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97,764,749</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307" w:lineRule="exact"/>
        <w:rPr>
          <w:sz w:val="20"/>
          <w:szCs w:val="20"/>
          <w:color w:val="auto"/>
        </w:rPr>
      </w:pPr>
    </w:p>
    <w:p>
      <w:pPr>
        <w:ind w:left="980" w:right="5859" w:hanging="342"/>
        <w:spacing w:after="0" w:line="385" w:lineRule="auto"/>
        <w:tabs>
          <w:tab w:leader="none" w:pos="772"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Collaboration and License Agreements </w:t>
      </w:r>
      <w:r>
        <w:rPr>
          <w:rFonts w:ascii="Times New Roman" w:cs="Times New Roman" w:eastAsia="Times New Roman" w:hAnsi="Times New Roman"/>
          <w:sz w:val="14"/>
          <w:szCs w:val="14"/>
          <w:b w:val="1"/>
          <w:bCs w:val="1"/>
          <w:i w:val="1"/>
          <w:iCs w:val="1"/>
          <w:color w:val="auto"/>
        </w:rPr>
        <w:t>Amgen</w:t>
      </w:r>
    </w:p>
    <w:p>
      <w:pPr>
        <w:spacing w:after="0" w:line="1"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On May 8, 2023, the Company entered into a Collaboration Agreement (the Amgen Agreement) with Amgen Inc. (Amgen) to identify antigens recognized by T cells in patients with Crohn’s disease in accordance with a research plan. Under the terms of the Amgen Agreement, Amgen will retain all global development and commercialization rights, as well as an option to expand the collaboration to include target discovery for ulcerative colitis, under certain pre-specified terms. The proceeds from the Amgen Agreement include an upfront payment of $30 million, which was collected in July 2023. In addition, the Company is eligible to earn success-based milestone payments of over $500 million, based upon the achievement of certain clinical development and commercial milestones, as well as tiered single-digit royalty payments on net sales of products developed from the collaboration, subject to reductions set forth in the Amgen Agreement.</w:t>
      </w:r>
    </w:p>
    <w:p>
      <w:pPr>
        <w:spacing w:after="0" w:line="60" w:lineRule="exact"/>
        <w:rPr>
          <w:sz w:val="20"/>
          <w:szCs w:val="20"/>
          <w:color w:val="auto"/>
        </w:rPr>
      </w:pPr>
    </w:p>
    <w:p>
      <w:pPr>
        <w:jc w:val="both"/>
        <w:ind w:left="640" w:right="639" w:firstLine="351"/>
        <w:spacing w:after="0" w:line="268" w:lineRule="auto"/>
        <w:rPr>
          <w:sz w:val="20"/>
          <w:szCs w:val="20"/>
          <w:color w:val="auto"/>
        </w:rPr>
      </w:pPr>
      <w:r>
        <w:rPr>
          <w:rFonts w:ascii="Times New Roman" w:cs="Times New Roman" w:eastAsia="Times New Roman" w:hAnsi="Times New Roman"/>
          <w:sz w:val="14"/>
          <w:szCs w:val="14"/>
          <w:color w:val="auto"/>
        </w:rPr>
        <w:t>The Company concluded that Amgen meets the definition of a customer, as the Company is delivering research and development activities and a license of intellectual property. The Company identified performance obligations for research and development activities, the license, data reporting and participation in joint steering and research committees, which were determined to be a single combined performance obligation due to the services and licenses being highly interrelated.</w:t>
      </w:r>
    </w:p>
    <w:p>
      <w:pPr>
        <w:spacing w:after="0" w:line="5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For a certain time period during the term of the Amgen Agreement, Amgen has an option to add targets to the collaboration for payments specified in the agreement. Pursuant to the Amgen Agreement, the option for Amgen to select additional targets and to license, develop, and commercialize targets is not a performance obligation at the outset as these are customer options that do not represent material rights.</w:t>
      </w:r>
    </w:p>
    <w:p>
      <w:pPr>
        <w:spacing w:after="0" w:line="5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Company looked to the promises in the arrangement to determine the method of recognition that best depicted the transfer of the services and the satisfaction of the combined performance obligations. The Company concluded that the performance of the research services over the expected research term was the predominant promise within the performance obligation. The Company will recognize the revenue associated with the performance obligation using an input method. The method of measuring progress towards delivery of the services incorporates actual internal and external costs incurred, relative to total internal and external costs expected to be incurred to satisfy the performance obligation. Changes in estimates of total internal and external costs expected to be incurred are recognized in the period of change as a cumulative catch-up adjustment. As costs are incurred, the Company will recognize revenue over time. At this time, it is estimated that the research term will be approximately three years.</w:t>
      </w:r>
    </w:p>
    <w:p>
      <w:pPr>
        <w:spacing w:after="0" w:line="60"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Company determined the $30.0 million upfront payment to be the entirety of the consideration to be included in the transaction price as of the onset of the arrangement. The option to add additional targets was not included in the transaction price as they were assessed to be improbable at this time. The potential milestone and royalty payments that the Company is eligible to receive were also excluded from the transaction price, as all milestone and royalty amounts were fully constrained based on the assessed probability of achievement. The Company will continue to assess the probability of the option to add additional targets and the probability of milestone achievement throughout the research term and will adjust the consideration in the contract accordingly.</w:t>
      </w:r>
    </w:p>
    <w:p>
      <w:pPr>
        <w:spacing w:after="0" w:line="58" w:lineRule="exact"/>
        <w:rPr>
          <w:sz w:val="20"/>
          <w:szCs w:val="20"/>
          <w:color w:val="auto"/>
        </w:rPr>
      </w:pPr>
    </w:p>
    <w:p>
      <w:pPr>
        <w:jc w:val="both"/>
        <w:ind w:left="640" w:right="639" w:firstLine="351"/>
        <w:spacing w:after="0" w:line="274" w:lineRule="auto"/>
        <w:rPr>
          <w:sz w:val="20"/>
          <w:szCs w:val="20"/>
          <w:color w:val="auto"/>
        </w:rPr>
      </w:pPr>
      <w:r>
        <w:rPr>
          <w:rFonts w:ascii="Times New Roman" w:cs="Times New Roman" w:eastAsia="Times New Roman" w:hAnsi="Times New Roman"/>
          <w:sz w:val="14"/>
          <w:szCs w:val="14"/>
          <w:color w:val="auto"/>
        </w:rPr>
        <w:t>The $30.0 million up-front payment was invoiced in June 2023 and was fully collected in July 2023. During the three months ended March 31, 2026 and 2025, the Company recognized $1.0 million and $2.2 million, respectively, of revenue associated with the Amgen Agreement. As of March 31, 2026, the Company recorded $1.6 million of deferred revenue which is classified as short-term.</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7. Commitments and Contingencies</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01"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Company leases office space under non-cancelable operating lease agreements. There have been no material changes to the Company's leases during the period ended March 31, 2026.</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sectPr>
      </w:pPr>
    </w:p>
    <w:bookmarkStart w:id="15" w:name="page16"/>
    <w:bookmarkEnd w:id="15"/>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Brigham and Women’s License Agreement</w:t>
      </w:r>
    </w:p>
    <w:p>
      <w:pPr>
        <w:spacing w:after="0" w:line="101"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Company obtained the worldwide exclusive license to its foundational technology from the Brigham and Women’s Hospital, Inc. (BWH). The license, as amended, grants worldwide exclusive use to the patent underlying the TargetScan technology in exchange for fees including development milestones and various royalties on product sales should they occur in the future.</w:t>
      </w:r>
    </w:p>
    <w:p>
      <w:pPr>
        <w:spacing w:after="0" w:line="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Royalty Agreement</w:t>
      </w:r>
    </w:p>
    <w:p>
      <w:pPr>
        <w:spacing w:after="0" w:line="101"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In June 2018, the Company amended and restated an existing royalty agreement with one of its founders. Under the amended and restated royalty agreement, the Company agreed to pay the founder an aggregate royalty of 1% of net sales of any product sold by the Company or by any of its direct or indirect licensees for use in the treatment of any disease or disorder covered by a pending patent application or issued patent held or controlled by the Company as of the last date that the founder was providing services to the Company as a director or consultant under a written agreement in perpetuity. Royalties are payable with respect to each applicable product for a defined period of time set forth in the royalty agreement. The founder assigned his rights and obligations under the royalty agreement to one of his affiliated entities in January 2021.</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8. Loan and Security Agreements</w:t>
      </w:r>
    </w:p>
    <w:p>
      <w:pPr>
        <w:spacing w:after="0" w:line="1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Silicon Valley Bank</w:t>
      </w:r>
    </w:p>
    <w:p>
      <w:pPr>
        <w:spacing w:after="0" w:line="101" w:lineRule="exact"/>
        <w:rPr>
          <w:sz w:val="20"/>
          <w:szCs w:val="20"/>
          <w:color w:val="auto"/>
        </w:rPr>
      </w:pPr>
    </w:p>
    <w:p>
      <w:pPr>
        <w:jc w:val="both"/>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On December 20, 2024 (the Effective Date), the Company entered into a Loan and Security Agreement (SVB Loan Agreement) with Silicon Valley Bank, a division of First-Citizens Bank &amp; Trust Company (SVB). Under the SVB Loan Agreement, SVB will extend up to $52.5 million through a non-convertible term loan facility, consisting of a first tranche of $32.5 million fully funded on the Effective Date and a second tranche of $20.0 million to be available to the Company at the lender’s sole discretion on or prior to June 30, 2026.</w:t>
      </w:r>
    </w:p>
    <w:p>
      <w:pPr>
        <w:spacing w:after="0" w:line="142"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 term loans will mature on September 1, 2029, and will be subject to monthly interest only payments until September 30, 2027, provided the Company achieves certain financial and clinical milestones, following which the term loans will amortize in equal monthly installments until maturity. If the Company does not achieve such financial and clinical milestones by June 30, 2026, the maturity date will be September 1, 2028, and the interest only period will end on September 30, 2026, following which the term loans will amortize in equal monthly installments until maturity.</w:t>
      </w:r>
    </w:p>
    <w:p>
      <w:pPr>
        <w:spacing w:after="0" w:line="142"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term loans will accrue interest at a per annum rate equal to the greater of (i) 7.00% and (ii) the prime rate (as last quoted in The Wall Street Journal), minus 0.75%; provided that such interest rate shall not exceed 9.75% per annum. The Company will be liable for a final payment that is due on the earliest to occur of (a) the maturity date, (b) the repayment of the term loans in full, and (c) the date upon which the term loans are accelerated by the lender, in an amount equal to the aggregate original principal amount of the term loans extended by the lender to the Company, multiplied by 5.0% (Exit Fee). In addition, the Company will be liable for a prepayment fee equal to (x) 3.0% of the principal amount of term loans prepaid during the first year of the term, (y) 2.0% of the principal amount of term loans prepaid during the second year of the term, and (z) 1.0% of the principal amount of term loans prepaid thereafter. The term loans will automatically accelerate upon the occurrence of a bankruptcy or insolvency event involving the Company or its subsidiaries.</w:t>
      </w:r>
    </w:p>
    <w:p>
      <w:pPr>
        <w:spacing w:after="0" w:line="318"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SVB Loan Agreement contains customary representations and warranties, events of default and affirmative and negative covenants, including covenants that limit or restrict the Company’s and its subsidiaries’ ability to, among other things, dispose of assets, make changes to its business, management, ownership or business locations, merge or consolidate, incur additional indebtedness, grant liens on its assets, pay dividends or other distributions, repurchase equity, make investments, and enter into certain transactions with affiliates, in each case subject to certain thresholds and exceptions. The SVB Loan Agreement does not require the Company to comply with a financial maintenance covenant. As collateral for its obligations under the SVB Loan Agreement, the Company granted the lender a first-priority security interest on substantially all of the Company’s assets (other than intellectual property), subject to certain exceptions. The Company’s obligations under the SVB Loan Agreement will be guaranteed by each of the Company’s future direct or indirect subsidiaries, subject to certain exceptions.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16" w:name="page17"/>
    <w:bookmarkEnd w:id="16"/>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Company recorded $0.7 million and $0.7 million in interest expense for the three months ended March 31, 2026 and 2025, respectively. The effective interest rate on the SVB Loan Agreement, including the amortization of the debt discount and issuance costs, and accretion of the Exit Fee, was 8.46% at March 31, 2026.</w:t>
      </w:r>
    </w:p>
    <w:p>
      <w:pPr>
        <w:spacing w:after="0" w:line="136"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7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Future principal payments as of March 31, 2026 are as follows (in thousands):</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5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2027</w:t>
            </w:r>
          </w:p>
        </w:tc>
        <w:tc>
          <w:tcPr>
            <w:tcW w:w="780" w:type="dxa"/>
            <w:vAlign w:val="bottom"/>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7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2029</w:t>
            </w:r>
          </w:p>
        </w:tc>
        <w:tc>
          <w:tcPr>
            <w:tcW w:w="7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12,187</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Total principal payments</w:t>
            </w:r>
          </w:p>
        </w:tc>
        <w:tc>
          <w:tcPr>
            <w:tcW w:w="7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57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Plus: Final payment fee</w:t>
            </w:r>
          </w:p>
        </w:tc>
        <w:tc>
          <w:tcPr>
            <w:tcW w:w="78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1,625</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Less: unamortized debt discount and final fee</w:t>
            </w:r>
          </w:p>
        </w:tc>
        <w:tc>
          <w:tcPr>
            <w:tcW w:w="78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debt</w:t>
            </w:r>
          </w:p>
        </w:tc>
        <w:tc>
          <w:tcPr>
            <w:tcW w:w="780" w:type="dxa"/>
            <w:vAlign w:val="bottom"/>
            <w:tcBorders>
              <w:top w:val="single" w:sz="8" w:color="auto"/>
              <w:bottom w:val="single" w:sz="8" w:color="auto"/>
            </w:tcBorders>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32,654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5267325</wp:posOffset>
            </wp:positionH>
            <wp:positionV relativeFrom="paragraph">
              <wp:posOffset>-490220</wp:posOffset>
            </wp:positionV>
            <wp:extent cx="4762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3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9. Segment Reporting</w:t>
      </w:r>
    </w:p>
    <w:p>
      <w:pPr>
        <w:spacing w:after="0" w:line="99"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Operating segments are defined as components of the entity for which separate financial information is made available and that is regularly evaluated by the chief operating decision maker (CODM) in making decisions regarding resource allocation and assessing performance. The Company's CODM is its Chief Executive Officer and the Company manages its operations as a single segment for the purposes of assessing performance and making operating decisions. The Company is focused on the development of TCR-T therapy product candidates for the treatment of patients with cancer.</w:t>
      </w:r>
    </w:p>
    <w:p>
      <w:pPr>
        <w:spacing w:after="0" w:line="142"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CODM assesses the Company's performance by reviewing GAAP net loss and significant expenses by function along with the annual budget. The CODM considers budget-to-actual variances on a quarterly basis when making decisions about the allocation of operating and capital resources.</w:t>
      </w:r>
    </w:p>
    <w:p>
      <w:pPr>
        <w:spacing w:after="0" w:line="136"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provides information about the Company's single operating segment which includes significant expenses by function along with significant non-cash expense items.</w:t>
      </w:r>
    </w:p>
    <w:p>
      <w:pPr>
        <w:spacing w:after="0" w:line="119"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3"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120" w:type="dxa"/>
        <w:tblCellMar>
          <w:top w:w="0" w:type="dxa"/>
          <w:left w:w="0" w:type="dxa"/>
          <w:bottom w:w="0" w:type="dxa"/>
          <w:right w:w="0" w:type="dxa"/>
        </w:tblCellMar>
      </w:tblPr>
      <w:tr>
        <w:trPr>
          <w:trHeight w:val="151"/>
        </w:trPr>
        <w:tc>
          <w:tcPr>
            <w:tcW w:w="5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21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18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Personnel expenses</w:t>
            </w:r>
          </w:p>
        </w:tc>
        <w:tc>
          <w:tcPr>
            <w:tcW w:w="1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8,331</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8,816</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Facility-related and other</w:t>
            </w: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Laboratory supplies, research materials and studies</w:t>
            </w:r>
          </w:p>
        </w:tc>
        <w:tc>
          <w:tcPr>
            <w:tcW w:w="1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4,278</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9,489</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Clinical studies</w:t>
            </w: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expense</w:t>
            </w: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Personnel expenses</w:t>
            </w: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Legal and professional fees</w:t>
            </w:r>
          </w:p>
        </w:tc>
        <w:tc>
          <w:tcPr>
            <w:tcW w:w="1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1,954</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Facility-related and other</w:t>
            </w: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Expense</w:t>
            </w: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1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Interest expense</w:t>
            </w:r>
          </w:p>
        </w:tc>
        <w:tc>
          <w:tcPr>
            <w:tcW w:w="1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(689)</w:t>
            </w: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(679)</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0" w:lineRule="exact"/>
              <w:rPr>
                <w:sz w:val="1"/>
                <w:szCs w:val="1"/>
                <w:color w:val="auto"/>
              </w:rPr>
            </w:pPr>
          </w:p>
        </w:tc>
        <w:tc>
          <w:tcPr>
            <w:tcW w:w="3420" w:type="dxa"/>
            <w:vAlign w:val="bottom"/>
            <w:shd w:val="clear" w:color="auto" w:fill="CFF0FC"/>
          </w:tcPr>
          <w:p>
            <w:pPr>
              <w:spacing w:after="0" w:line="20" w:lineRule="exact"/>
              <w:rPr>
                <w:sz w:val="1"/>
                <w:szCs w:val="1"/>
                <w:color w:val="auto"/>
              </w:rPr>
            </w:pPr>
          </w:p>
        </w:tc>
        <w:tc>
          <w:tcPr>
            <w:tcW w:w="18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 w:type="dxa"/>
            <w:vAlign w:val="bottom"/>
            <w:vMerge w:val="continue"/>
          </w:tcPr>
          <w:p>
            <w:pPr>
              <w:spacing w:after="0"/>
              <w:rPr>
                <w:sz w:val="14"/>
                <w:szCs w:val="14"/>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86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(28,666)</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(34,127)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60" w:type="dxa"/>
            <w:vAlign w:val="bottom"/>
            <w:vMerge w:val="restart"/>
          </w:tcPr>
          <w:p>
            <w:pPr>
              <w:jc w:val="right"/>
              <w:ind w:right="1268"/>
              <w:spacing w:after="0"/>
              <w:rPr>
                <w:sz w:val="20"/>
                <w:szCs w:val="20"/>
                <w:color w:val="auto"/>
              </w:rPr>
            </w:pPr>
            <w:r>
              <w:rPr>
                <w:rFonts w:ascii="Times New Roman" w:cs="Times New Roman" w:eastAsia="Times New Roman" w:hAnsi="Times New Roman"/>
                <w:sz w:val="14"/>
                <w:szCs w:val="14"/>
                <w:color w:val="auto"/>
              </w:rPr>
              <w:t>16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5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-803910</wp:posOffset>
            </wp:positionV>
            <wp:extent cx="4762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-803910</wp:posOffset>
            </wp:positionV>
            <wp:extent cx="4762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7" w:name="page18"/>
    <w:bookmarkEnd w:id="17"/>
    <w:p>
      <w:pPr>
        <w:ind w:left="980" w:right="6899" w:hanging="342"/>
        <w:spacing w:after="0" w:line="385" w:lineRule="auto"/>
        <w:tabs>
          <w:tab w:leader="none" w:pos="844"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Net Loss Per Share </w:t>
      </w:r>
      <w:r>
        <w:rPr>
          <w:rFonts w:ascii="Times New Roman" w:cs="Times New Roman" w:eastAsia="Times New Roman" w:hAnsi="Times New Roman"/>
          <w:sz w:val="14"/>
          <w:szCs w:val="14"/>
          <w:b w:val="1"/>
          <w:bCs w:val="1"/>
          <w:i w:val="1"/>
          <w:iCs w:val="1"/>
          <w:color w:val="auto"/>
        </w:rPr>
        <w:t>Net Loss Per Share</w:t>
      </w:r>
    </w:p>
    <w:p>
      <w:pPr>
        <w:ind w:left="9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Basic and diluted net loss per share was calculated as follows (in thousands, except share and per share data):</w:t>
      </w:r>
    </w:p>
    <w:p>
      <w:pPr>
        <w:spacing w:after="0" w:line="92"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3"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640" w:type="dxa"/>
        <w:tblCellMar>
          <w:top w:w="0" w:type="dxa"/>
          <w:left w:w="0" w:type="dxa"/>
          <w:bottom w:w="0" w:type="dxa"/>
          <w:right w:w="0" w:type="dxa"/>
        </w:tblCellMar>
      </w:tblPr>
      <w:tr>
        <w:trPr>
          <w:trHeight w:val="109"/>
        </w:trPr>
        <w:tc>
          <w:tcPr>
            <w:tcW w:w="5320" w:type="dxa"/>
            <w:vAlign w:val="bottom"/>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ind w:right="35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ind w:right="37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Numerator:</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(28,666)</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(34,127)</w:t>
            </w: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Denominator:</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common shares outstanding, basic and diluted</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129,913,376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129,678,572</w:t>
            </w:r>
          </w:p>
        </w:tc>
        <w:tc>
          <w:tcPr>
            <w:tcW w:w="80" w:type="dxa"/>
            <w:vAlign w:val="bottom"/>
          </w:tcPr>
          <w:p>
            <w:pPr>
              <w:spacing w:after="0"/>
              <w:rPr>
                <w:sz w:val="14"/>
                <w:szCs w:val="14"/>
                <w:color w:val="auto"/>
              </w:rPr>
            </w:pP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(0.22)</w:t>
            </w:r>
          </w:p>
        </w:tc>
        <w:tc>
          <w:tcPr>
            <w:tcW w:w="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(0.26)</w:t>
            </w:r>
          </w:p>
        </w:tc>
      </w:tr>
    </w:tbl>
    <w:p>
      <w:pPr>
        <w:spacing w:after="0" w:line="71" w:lineRule="exact"/>
        <w:rPr>
          <w:sz w:val="20"/>
          <w:szCs w:val="20"/>
          <w:color w:val="auto"/>
        </w:rPr>
      </w:pPr>
    </w:p>
    <w:p>
      <w:pPr>
        <w:jc w:val="both"/>
        <w:ind w:left="640" w:right="659" w:firstLine="516"/>
        <w:spacing w:after="0" w:line="292" w:lineRule="auto"/>
        <w:rPr>
          <w:sz w:val="20"/>
          <w:szCs w:val="20"/>
          <w:color w:val="auto"/>
        </w:rPr>
      </w:pPr>
      <w:r>
        <w:rPr>
          <w:rFonts w:ascii="Times New Roman" w:cs="Times New Roman" w:eastAsia="Times New Roman" w:hAnsi="Times New Roman"/>
          <w:sz w:val="14"/>
          <w:szCs w:val="14"/>
          <w:color w:val="auto"/>
        </w:rPr>
        <w:t>The 69,811,767 shares of the Company's common stock issuable upon exercise of the Pre-Funded Warrants described in Note 5 are included as outstanding common stock in the calculation of basic and diluted net loss per share.</w:t>
      </w:r>
    </w:p>
    <w:p>
      <w:pPr>
        <w:spacing w:after="0" w:line="38"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 Company has two classes of common stock, each with identical participation rights to earnings and liquidation preferences, and therefore the calculation of net loss per share as described above is identical to the calculation under the two-class method. The Company excluded the following potential common shares from the computation of diluted net loss per share for the periods indicated because including them would have had an anti-dilutive effect:</w:t>
      </w:r>
    </w:p>
    <w:p>
      <w:pPr>
        <w:spacing w:after="0" w:line="49"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5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54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09"/>
        </w:trPr>
        <w:tc>
          <w:tcPr>
            <w:tcW w:w="5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80" w:type="dxa"/>
            <w:vAlign w:val="bottom"/>
            <w:tcBorders>
              <w:bottom w:val="single" w:sz="8" w:color="auto"/>
            </w:tcBorders>
          </w:tcPr>
          <w:p>
            <w:pPr>
              <w:jc w:val="right"/>
              <w:ind w:right="378"/>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372"/>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63"/>
        </w:trPr>
        <w:tc>
          <w:tcPr>
            <w:tcW w:w="520" w:type="dxa"/>
            <w:vAlign w:val="bottom"/>
          </w:tcPr>
          <w:p>
            <w:pPr>
              <w:spacing w:after="0"/>
              <w:rPr>
                <w:sz w:val="14"/>
                <w:szCs w:val="14"/>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3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20,385,968</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17,324,388</w:t>
            </w:r>
          </w:p>
        </w:tc>
        <w:tc>
          <w:tcPr>
            <w:tcW w:w="10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Potential shares issuable under the ESPP</w:t>
            </w:r>
          </w:p>
        </w:tc>
        <w:tc>
          <w:tcPr>
            <w:tcW w:w="224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158,724</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261,637</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203"/>
        </w:trPr>
        <w:tc>
          <w:tcPr>
            <w:tcW w:w="520" w:type="dxa"/>
            <w:vAlign w:val="bottom"/>
          </w:tcPr>
          <w:p>
            <w:pPr>
              <w:spacing w:after="0"/>
              <w:rPr>
                <w:sz w:val="17"/>
                <w:szCs w:val="17"/>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3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20,544,692</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17,586,025</w:t>
            </w:r>
          </w:p>
        </w:tc>
        <w:tc>
          <w:tcPr>
            <w:tcW w:w="100" w:type="dxa"/>
            <w:vAlign w:val="bottom"/>
            <w:shd w:val="clear" w:color="auto" w:fill="CFF0FC"/>
          </w:tcPr>
          <w:p>
            <w:pPr>
              <w:spacing w:after="0"/>
              <w:rPr>
                <w:sz w:val="17"/>
                <w:szCs w:val="17"/>
                <w:color w:val="auto"/>
              </w:rPr>
            </w:pPr>
          </w:p>
        </w:tc>
        <w:tc>
          <w:tcPr>
            <w:tcW w:w="520" w:type="dxa"/>
            <w:vAlign w:val="bottom"/>
          </w:tcPr>
          <w:p>
            <w:pPr>
              <w:spacing w:after="0"/>
              <w:rPr>
                <w:sz w:val="17"/>
                <w:szCs w:val="17"/>
                <w:color w:val="auto"/>
              </w:rPr>
            </w:pPr>
          </w:p>
        </w:tc>
      </w:tr>
      <w:tr>
        <w:trPr>
          <w:trHeight w:val="401"/>
        </w:trPr>
        <w:tc>
          <w:tcPr>
            <w:tcW w:w="520" w:type="dxa"/>
            <w:vAlign w:val="bottom"/>
          </w:tcPr>
          <w:p>
            <w:pPr>
              <w:spacing w:after="0"/>
              <w:rPr>
                <w:sz w:val="24"/>
                <w:szCs w:val="24"/>
                <w:color w:val="auto"/>
              </w:rPr>
            </w:pPr>
          </w:p>
        </w:tc>
        <w:tc>
          <w:tcPr>
            <w:tcW w:w="3060" w:type="dxa"/>
            <w:vAlign w:val="bottom"/>
            <w:tcBorders>
              <w:top w:val="single" w:sz="8" w:color="CFF0FC"/>
            </w:tcBorders>
          </w:tcPr>
          <w:p>
            <w:pPr>
              <w:spacing w:after="0"/>
              <w:rPr>
                <w:sz w:val="24"/>
                <w:szCs w:val="24"/>
                <w:color w:val="auto"/>
              </w:rPr>
            </w:pPr>
          </w:p>
        </w:tc>
        <w:tc>
          <w:tcPr>
            <w:tcW w:w="2240" w:type="dxa"/>
            <w:vAlign w:val="bottom"/>
            <w:tcBorders>
              <w:top w:val="single" w:sz="8" w:color="CFF0FC"/>
            </w:tcBorders>
          </w:tcPr>
          <w:p>
            <w:pPr>
              <w:jc w:val="right"/>
              <w:ind w:right="1288"/>
              <w:spacing w:after="0"/>
              <w:rPr>
                <w:sz w:val="20"/>
                <w:szCs w:val="20"/>
                <w:color w:val="auto"/>
              </w:rPr>
            </w:pPr>
            <w:r>
              <w:rPr>
                <w:rFonts w:ascii="Times New Roman" w:cs="Times New Roman" w:eastAsia="Times New Roman" w:hAnsi="Times New Roman"/>
                <w:sz w:val="14"/>
                <w:szCs w:val="14"/>
                <w:color w:val="auto"/>
              </w:rPr>
              <w:t>17</w:t>
            </w:r>
          </w:p>
        </w:tc>
        <w:tc>
          <w:tcPr>
            <w:tcW w:w="10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-688340</wp:posOffset>
            </wp:positionV>
            <wp:extent cx="4762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-674370</wp:posOffset>
            </wp:positionV>
            <wp:extent cx="4762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-688340</wp:posOffset>
            </wp:positionV>
            <wp:extent cx="5461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-674370</wp:posOffset>
            </wp:positionV>
            <wp:extent cx="5461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18" w:name="page19"/>
    <w:bookmarkEnd w:id="18"/>
    <w:p>
      <w:pPr>
        <w:ind w:left="6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97"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financial statements and related notes appearing elsewhere in this Quarterly Report on Form 10-Q (Quarterly Report), and our Annual Report on Form 10-K filed with the Securities and Exchange Commission (SEC) on March 4, 2026.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and “Special Note Regarding Forward-Looking Statements” sections of this Quarterly Report, our actual results could differ materially from the results described in, or implied by, the forward-looking statements contained in the following discussion and analysis.</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5"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are a fully integrated clinical-stage biotechnology company focused on developing a robust pipeline of T cell receptor (TCR)-engineered T cell, or TCR-T, therapies for the treatment of patients with cancer. Our lead product candidate, TSC-101, is in development for the treatment of patients with acute myeloid leukemia (AML) and myelodysplastic syndrome (MDS) who are undergoing allogeneic hematopoietic cell transplantation (HCT). The product is designed to eliminate residual disease and promote complete donor chimerism, thereby preventing relapse. TSC-101 targets HA-2, an antigen that is present on all blood cells, malignant or benign, in patients with the HLA type A*02:01. We are currently conducting a Phase 1 clinical study of TSC-101 (the ALLOHA™ trial, NCT05473910) and during the fourth quarter of 2025, following a productive End-of-Phase meeting with the U.S. Food and Drug Administration (FDA), we reached agreement on a registrational path forward for the TSC-101 program as a potential treatment for patients with AML and MDS. The pivotal study will mirror our ongoing Phase 1 ALLOHA study, using a biologically-assigned (genetically randomized) control arm to support relapse-free survival as the primary endpoint.</w:t>
      </w:r>
    </w:p>
    <w:p>
      <w:pPr>
        <w:spacing w:after="0" w:line="146"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are further expanding our hematologic (heme) malignancies program with the addition of TCRs targeting other HLA types. TSC-102-A01 and TSC-102-A03 are allogeneic, donor-derived TCR-T therapy candidates targeting epitopes derived from CD45. Like TSC-101, these candidates are designed to eliminate residual cancer cells and prevent relapse in patients undergoing HCT. TSC-102-A01 and TSC-102-A03 are designed for patients with HLA types A*01:01 and A*03:01, respectively.</w:t>
      </w:r>
    </w:p>
    <w:p>
      <w:pPr>
        <w:spacing w:after="0" w:line="138"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 xml:space="preserve">We are also in early stages of developing methods to engineer TCR-T cells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to treat solid tumors. One of the challenges of treating solid tumors is that they are heterogeneous – not every tumor cell expresses a given target. To address this challenge, we are developing what we refer to as multiplex TCR-T therapy, in which we treat a patient with more than one TCR-T therapy product candidate at a time. We are designing these multiplex therapies to be a simultaneous administration of up to three highly active TCR-Ts that are customized for each patient based on which targets are expressed in their tumors. We believe an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approach represents a promising and cost-efficient way to deliver off-the-shelf, multiplexed TCR-T therapy for solid tumors.</w:t>
      </w:r>
    </w:p>
    <w:p>
      <w:pPr>
        <w:spacing w:after="0" w:line="142" w:lineRule="exact"/>
        <w:rPr>
          <w:sz w:val="20"/>
          <w:szCs w:val="20"/>
          <w:color w:val="auto"/>
        </w:rPr>
      </w:pPr>
    </w:p>
    <w:p>
      <w:pPr>
        <w:jc w:val="both"/>
        <w:ind w:left="640" w:right="639" w:firstLine="351"/>
        <w:spacing w:after="0" w:line="268" w:lineRule="auto"/>
        <w:rPr>
          <w:sz w:val="20"/>
          <w:szCs w:val="20"/>
          <w:color w:val="auto"/>
        </w:rPr>
      </w:pPr>
      <w:r>
        <w:rPr>
          <w:rFonts w:ascii="Times New Roman" w:cs="Times New Roman" w:eastAsia="Times New Roman" w:hAnsi="Times New Roman"/>
          <w:sz w:val="14"/>
          <w:szCs w:val="14"/>
          <w:color w:val="auto"/>
        </w:rPr>
        <w:t>While primarily focused on oncology, we believe our target discovery platform is well suited to identify targets that cause T cell-driven autoimmune disorders. We have identified a set of indications in which T cells play a key role and are currently identifying targets and developing potential treatment options for these disorders. Initial indications include ankylosing spondylitis, ulcerative colitis and scleroderma. In addition, the Company is continuing to discover targets for Crohn's disease in partnership with Amgen.</w:t>
      </w:r>
    </w:p>
    <w:p>
      <w:pPr>
        <w:spacing w:after="0" w:line="140"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Since our inception in 2018, we have devoted our efforts to raising capital, obtaining financing, filing, prosecuting and maintaining intellectual property rights, organizing and staffing our Company and incurring research and development costs related to the identification of novel targets for TCRs and development of TCR-T therapy product candidates to target and eliminate cancer cells. We do not have any therapies approved for sale and have not generated any revenue from product sales. To date, we have funded our operations primarily with proceeds from sales of capital stock, revenue received under our collaboration agreements, as well as debt facilities.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19" w:name="page20"/>
    <w:bookmarkEnd w:id="19"/>
    <w:p>
      <w:pPr>
        <w:jc w:val="both"/>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We have incurred significant operating losses since our inception. We reported net losses of $28.7 million and $34.1 million for the three months ended March 31, 2026 and 2025, respectively. As of March 31, 2026, we had an accumulated deficit of $533.5 million. We expect to continue to incur significant expenses and increasing operating losses for the foreseeable future. We expect that our expenses and capital expenditure requirements will increase substantially in connection with our ongoing activities, particularly if and as we:</w:t>
      </w:r>
    </w:p>
    <w:p>
      <w:pPr>
        <w:spacing w:after="0" w:line="229" w:lineRule="exact"/>
        <w:rPr>
          <w:sz w:val="20"/>
          <w:szCs w:val="20"/>
          <w:color w:val="auto"/>
        </w:rPr>
      </w:pPr>
    </w:p>
    <w:p>
      <w:pPr>
        <w:ind w:left="1340" w:right="659" w:hanging="352"/>
        <w:spacing w:after="0" w:line="292" w:lineRule="auto"/>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our research and development efforts to identify and develop product candidates and submit IND applications for such product candidates;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preclinical studies and commence clinical trials for our current and future product candidates based on our proprietary platform;</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processes suitable for manufacturing and clinical development;</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develop and expand our manufacturing capabilities;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clinical trials of our product candidates to evaluate their safety and potential efficacy;</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marketing approvals for any product candidates that successfully complete clinical trials;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 commercial infrastructure to support sales and marketing for our product candidates;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maintain and protect our intellectual property portfolio;</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additional clinical, regulatory and scientific personnel;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operate as a public company.</w:t>
      </w:r>
    </w:p>
    <w:p>
      <w:pPr>
        <w:spacing w:after="0" w:line="97" w:lineRule="exact"/>
        <w:rPr>
          <w:sz w:val="20"/>
          <w:szCs w:val="20"/>
          <w:color w:val="auto"/>
        </w:rPr>
      </w:pPr>
    </w:p>
    <w:p>
      <w:pPr>
        <w:jc w:val="both"/>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We will not generate revenue from sales of our therapies unless and until we successfully complete clinical development and obtain regulatory approval for one or more of our product candidates. If we obtain regulatory approval for any of our product candidates, we expect to incur significant expenses related to developing our commercialization capability to support the sales, marketing and distribution of those therapies. Further, we expect to continue to incur costs associated with operating as a public company.</w:t>
      </w:r>
    </w:p>
    <w:p>
      <w:pPr>
        <w:spacing w:after="0" w:line="229"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As a result, we will need substantial additional funding to support our continuing operations and pursue our growth strategy. Until such time as we can generate significant revenue from sales of our therapies, if ever, we expect to finance our operations through a combination of equity offerings, debt financings, or other capital sources, including collaborations with other companies, and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p>
    <w:p>
      <w:pPr>
        <w:spacing w:after="0" w:line="58"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Because of the numerous risks and uncertainties associated with TCR-T therapy product candidate development, we are unable to accurately predict the timing or amount of increased expenses or when, or if, we will be able to achieve or maintain profitability. Even if we are able to generate sales of our therapies,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56" w:lineRule="exact"/>
        <w:rPr>
          <w:sz w:val="20"/>
          <w:szCs w:val="20"/>
          <w:color w:val="auto"/>
        </w:rPr>
      </w:pPr>
    </w:p>
    <w:p>
      <w:pPr>
        <w:jc w:val="both"/>
        <w:ind w:left="640" w:right="639" w:firstLine="351"/>
        <w:spacing w:after="0" w:line="268" w:lineRule="auto"/>
        <w:rPr>
          <w:sz w:val="20"/>
          <w:szCs w:val="20"/>
          <w:color w:val="auto"/>
        </w:rPr>
      </w:pPr>
      <w:r>
        <w:rPr>
          <w:rFonts w:ascii="Times New Roman" w:cs="Times New Roman" w:eastAsia="Times New Roman" w:hAnsi="Times New Roman"/>
          <w:sz w:val="14"/>
          <w:szCs w:val="14"/>
          <w:color w:val="auto"/>
        </w:rPr>
        <w:t>We believe that our existing cash and cash equivalents will enable us to fund our current operating plan into the second half of 2027. We have based this estimate on assumptions that may prove to be wrong, and we could exhaust our available capital resources sooner than we expect. For additional information regarding our liquidity, see “Liquidity and Capital Resources” and “Risk Factors— Risks related to our financial position and need for additional capital.”</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20" w:name="page21"/>
    <w:bookmarkEnd w:id="20"/>
    <w:p>
      <w:pPr>
        <w:ind w:left="6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March 31, 2026 and 2025</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for the three months ended March 31, 2026 and 2025 (in thousands):</w:t>
      </w:r>
    </w:p>
    <w:p>
      <w:pPr>
        <w:spacing w:after="0" w:line="170"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4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60" w:type="dxa"/>
            <w:vAlign w:val="bottom"/>
            <w:gridSpan w:val="7"/>
          </w:tcPr>
          <w:p>
            <w:pPr>
              <w:ind w:left="28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09"/>
        </w:trPr>
        <w:tc>
          <w:tcPr>
            <w:tcW w:w="4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jc w:val="right"/>
              <w:ind w:right="272"/>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jc w:val="right"/>
              <w:ind w:right="27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20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982</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2,171</w:t>
            </w:r>
          </w:p>
        </w:tc>
        <w:tc>
          <w:tcPr>
            <w:tcW w:w="100" w:type="dxa"/>
            <w:vAlign w:val="bottom"/>
          </w:tcPr>
          <w:p>
            <w:pPr>
              <w:spacing w:after="0"/>
              <w:rPr>
                <w:sz w:val="14"/>
                <w:szCs w:val="14"/>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(1,189)</w:t>
            </w:r>
          </w:p>
        </w:tc>
        <w:tc>
          <w:tcPr>
            <w:tcW w:w="0" w:type="dxa"/>
            <w:vAlign w:val="bottom"/>
          </w:tcPr>
          <w:p>
            <w:pPr>
              <w:spacing w:after="0"/>
              <w:rPr>
                <w:sz w:val="1"/>
                <w:szCs w:val="1"/>
                <w:color w:val="auto"/>
              </w:rPr>
            </w:pPr>
          </w:p>
        </w:tc>
      </w:tr>
      <w:tr>
        <w:trPr>
          <w:trHeight w:val="172"/>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21,904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29,788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(7,884)</w:t>
            </w:r>
          </w:p>
        </w:tc>
        <w:tc>
          <w:tcPr>
            <w:tcW w:w="0" w:type="dxa"/>
            <w:vAlign w:val="bottom"/>
          </w:tcPr>
          <w:p>
            <w:pPr>
              <w:spacing w:after="0"/>
              <w:rPr>
                <w:sz w:val="1"/>
                <w:szCs w:val="1"/>
                <w:color w:val="auto"/>
              </w:rPr>
            </w:pPr>
          </w:p>
        </w:tc>
      </w:tr>
      <w:tr>
        <w:trPr>
          <w:trHeight w:val="172"/>
        </w:trPr>
        <w:tc>
          <w:tcPr>
            <w:tcW w:w="4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8,217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8,633</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20"/>
        </w:trPr>
        <w:tc>
          <w:tcPr>
            <w:tcW w:w="45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30,121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38,421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(8,300)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2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(29,139)</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(36,250)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2,802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(1,640)</w:t>
            </w:r>
          </w:p>
        </w:tc>
        <w:tc>
          <w:tcPr>
            <w:tcW w:w="0" w:type="dxa"/>
            <w:vAlign w:val="bottom"/>
          </w:tcPr>
          <w:p>
            <w:pPr>
              <w:spacing w:after="0"/>
              <w:rPr>
                <w:sz w:val="1"/>
                <w:szCs w:val="1"/>
                <w:color w:val="auto"/>
              </w:rPr>
            </w:pPr>
          </w:p>
        </w:tc>
      </w:tr>
      <w:tr>
        <w:trPr>
          <w:trHeight w:val="172"/>
        </w:trPr>
        <w:tc>
          <w:tcPr>
            <w:tcW w:w="45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 other income</w:t>
            </w:r>
          </w:p>
        </w:tc>
        <w:tc>
          <w:tcPr>
            <w:tcW w:w="20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2,123</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(1,650)</w:t>
            </w:r>
          </w:p>
        </w:tc>
        <w:tc>
          <w:tcPr>
            <w:tcW w:w="0" w:type="dxa"/>
            <w:vAlign w:val="bottom"/>
          </w:tcPr>
          <w:p>
            <w:pPr>
              <w:spacing w:after="0"/>
              <w:rPr>
                <w:sz w:val="1"/>
                <w:szCs w:val="1"/>
                <w:color w:val="auto"/>
              </w:rPr>
            </w:pPr>
          </w:p>
        </w:tc>
      </w:tr>
      <w:tr>
        <w:trPr>
          <w:trHeight w:val="20"/>
        </w:trPr>
        <w:tc>
          <w:tcPr>
            <w:tcW w:w="45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(28,666)</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(34,127)</w:t>
            </w:r>
          </w:p>
        </w:tc>
        <w:tc>
          <w:tcPr>
            <w:tcW w:w="100" w:type="dxa"/>
            <w:vAlign w:val="bottom"/>
          </w:tcPr>
          <w:p>
            <w:pPr>
              <w:spacing w:after="0"/>
              <w:rPr>
                <w:sz w:val="14"/>
                <w:szCs w:val="14"/>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-810895</wp:posOffset>
            </wp:positionV>
            <wp:extent cx="4762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-810895</wp:posOffset>
            </wp:positionV>
            <wp:extent cx="4762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-810895</wp:posOffset>
            </wp:positionV>
            <wp:extent cx="5461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-135890</wp:posOffset>
            </wp:positionV>
            <wp:extent cx="4762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-135890</wp:posOffset>
            </wp:positionV>
            <wp:extent cx="4762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-135890</wp:posOffset>
            </wp:positionV>
            <wp:extent cx="5461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99"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Revenue for the first quarter of 2026 was $1.0 million, compared to $2.2 million for the first quarter of 2025. The decrease was primarily due to the timing of research activities performed pursuant to our collaboration agreement with Amgen which commenced in May 2023.</w:t>
      </w:r>
    </w:p>
    <w:p>
      <w:pPr>
        <w:spacing w:after="0" w:line="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99"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summarizes our research and development expenses for the three months ended March 31, 2026 and 2025 (in thousands):</w:t>
      </w:r>
    </w:p>
    <w:p>
      <w:pPr>
        <w:spacing w:after="0" w:line="25"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3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4"/>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93"/>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70"/>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Personnel expenses</w:t>
            </w:r>
          </w:p>
        </w:tc>
        <w:tc>
          <w:tcPr>
            <w:tcW w:w="10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8,331</w:t>
            </w:r>
          </w:p>
        </w:tc>
        <w:tc>
          <w:tcPr>
            <w:tcW w:w="4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8,816</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Facility-related and other</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4,565</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(983)</w:t>
            </w:r>
          </w:p>
        </w:tc>
        <w:tc>
          <w:tcPr>
            <w:tcW w:w="0" w:type="dxa"/>
            <w:vAlign w:val="bottom"/>
          </w:tcPr>
          <w:p>
            <w:pPr>
              <w:spacing w:after="0"/>
              <w:rPr>
                <w:sz w:val="1"/>
                <w:szCs w:val="1"/>
                <w:color w:val="auto"/>
              </w:rPr>
            </w:pPr>
          </w:p>
        </w:tc>
      </w:tr>
      <w:tr>
        <w:trPr>
          <w:trHeight w:val="172"/>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Laboratory supplies, research materials and studies</w:t>
            </w: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4,278</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9,489</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(5,211)</w:t>
            </w:r>
          </w:p>
        </w:tc>
        <w:tc>
          <w:tcPr>
            <w:tcW w:w="0" w:type="dxa"/>
            <w:vAlign w:val="bottom"/>
          </w:tcPr>
          <w:p>
            <w:pPr>
              <w:spacing w:after="0"/>
              <w:rPr>
                <w:sz w:val="1"/>
                <w:szCs w:val="1"/>
                <w:color w:val="auto"/>
              </w:rPr>
            </w:pP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Clinical studies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(805)</w:t>
            </w:r>
          </w:p>
        </w:tc>
        <w:tc>
          <w:tcPr>
            <w:tcW w:w="0" w:type="dxa"/>
            <w:vAlign w:val="bottom"/>
          </w:tcPr>
          <w:p>
            <w:pPr>
              <w:spacing w:after="0"/>
              <w:rPr>
                <w:sz w:val="1"/>
                <w:szCs w:val="1"/>
                <w:color w:val="auto"/>
              </w:rPr>
            </w:pPr>
          </w:p>
        </w:tc>
      </w:tr>
      <w:tr>
        <w:trPr>
          <w:trHeight w:val="172"/>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1,231</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172"/>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expense</w:t>
            </w: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21,904</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29,788</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(7,884)</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-19685</wp:posOffset>
            </wp:positionV>
            <wp:extent cx="4762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-6350</wp:posOffset>
            </wp:positionV>
            <wp:extent cx="4762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-19685</wp:posOffset>
            </wp:positionV>
            <wp:extent cx="4762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-6350</wp:posOffset>
            </wp:positionV>
            <wp:extent cx="4762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-19685</wp:posOffset>
            </wp:positionV>
            <wp:extent cx="5461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-6350</wp:posOffset>
            </wp:positionV>
            <wp:extent cx="5461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51"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Research and development expenses decreased $7.9 million and was primarily attributable to a $5.2 million decrease in laboratory supplies, research materials and studies driven by the timing in the purchase of supplies and consumables. There was also a $1.0 million decrease in facility-related expenses related to the timing of tenant improvements at the 830 Winter Street expansion space. Clinical expenses decreased by $0.8 million and personnel expenses decreased by $0.5 million in connection with our strategic decision in November 2025 to prioritize the clinical development of our heme program, upon which we paused enrollment in the solid tumor Phase 1 trial and reduced our headcount. Research and development expenses included non-cash stock compensation expense of $1.2 million and $1.7 million for the first quarter of 2026 and 2025, respectively.</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99"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summarizes our general and administrative expenses for the three months ended March 31, 2026 and 2025 (in thousands):</w:t>
      </w:r>
    </w:p>
    <w:p>
      <w:pPr>
        <w:spacing w:after="0" w:line="25"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4560" w:type="dxa"/>
            <w:vAlign w:val="bottom"/>
          </w:tcPr>
          <w:p>
            <w:pPr>
              <w:spacing w:after="0"/>
              <w:rPr>
                <w:sz w:val="11"/>
                <w:szCs w:val="11"/>
                <w:color w:val="auto"/>
              </w:rPr>
            </w:pPr>
          </w:p>
        </w:tc>
        <w:tc>
          <w:tcPr>
            <w:tcW w:w="1660" w:type="dxa"/>
            <w:vAlign w:val="bottom"/>
            <w:gridSpan w:val="4"/>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7"/>
        </w:trPr>
        <w:tc>
          <w:tcPr>
            <w:tcW w:w="45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3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2"/>
        </w:trPr>
        <w:tc>
          <w:tcPr>
            <w:tcW w:w="456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3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tcPr>
          <w:p>
            <w:pPr>
              <w:spacing w:after="0"/>
              <w:rPr>
                <w:sz w:val="13"/>
                <w:szCs w:val="13"/>
                <w:color w:val="auto"/>
              </w:rPr>
            </w:pPr>
          </w:p>
        </w:tc>
      </w:tr>
      <w:tr>
        <w:trPr>
          <w:trHeight w:val="163"/>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Personnel expenses</w:t>
            </w:r>
          </w:p>
        </w:tc>
        <w:tc>
          <w:tcPr>
            <w:tcW w:w="580" w:type="dxa"/>
            <w:vAlign w:val="bottom"/>
            <w:shd w:val="clear" w:color="auto" w:fill="CFF0FC"/>
          </w:tcPr>
          <w:p>
            <w:pPr>
              <w:jc w:val="right"/>
              <w:ind w:right="436"/>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3,517</w:t>
            </w:r>
          </w:p>
        </w:tc>
        <w:tc>
          <w:tcPr>
            <w:tcW w:w="740" w:type="dxa"/>
            <w:vAlign w:val="bottom"/>
            <w:gridSpan w:val="2"/>
            <w:shd w:val="clear" w:color="auto" w:fill="CFF0FC"/>
          </w:tcPr>
          <w:p>
            <w:pPr>
              <w:jc w:val="right"/>
              <w:ind w:right="436"/>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3,019</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shd w:val="clear" w:color="auto" w:fill="CFF0FC"/>
          </w:tcPr>
          <w:p>
            <w:pPr>
              <w:spacing w:after="0"/>
              <w:rPr>
                <w:sz w:val="14"/>
                <w:szCs w:val="14"/>
                <w:color w:val="auto"/>
              </w:rPr>
            </w:pPr>
          </w:p>
        </w:tc>
      </w:tr>
      <w:tr>
        <w:trPr>
          <w:trHeight w:val="17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Legal and professional fees</w:t>
            </w: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1,692</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1,954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(262)</w:t>
            </w:r>
          </w:p>
        </w:tc>
      </w:tr>
      <w:tr>
        <w:trPr>
          <w:trHeight w:val="172"/>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Facility-related and other</w:t>
            </w:r>
          </w:p>
        </w:tc>
        <w:tc>
          <w:tcPr>
            <w:tcW w:w="5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1,690</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1,808</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(118)</w:t>
            </w:r>
          </w:p>
        </w:tc>
      </w:tr>
      <w:tr>
        <w:trPr>
          <w:trHeight w:val="172"/>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1,234</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1,676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(442)</w:t>
            </w:r>
          </w:p>
        </w:tc>
      </w:tr>
      <w:tr>
        <w:trPr>
          <w:trHeight w:val="172"/>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Depreciation expense</w:t>
            </w:r>
          </w:p>
        </w:tc>
        <w:tc>
          <w:tcPr>
            <w:tcW w:w="5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(92)</w:t>
            </w:r>
          </w:p>
        </w:tc>
      </w:tr>
      <w:tr>
        <w:trPr>
          <w:trHeight w:val="20"/>
        </w:trPr>
        <w:tc>
          <w:tcPr>
            <w:tcW w:w="45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3"/>
        </w:trPr>
        <w:tc>
          <w:tcPr>
            <w:tcW w:w="4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general and administrative expenses</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8,217</w:t>
            </w:r>
          </w:p>
        </w:tc>
        <w:tc>
          <w:tcPr>
            <w:tcW w:w="160" w:type="dxa"/>
            <w:vAlign w:val="bottom"/>
          </w:tcPr>
          <w:p>
            <w:pPr>
              <w:spacing w:after="0"/>
              <w:rPr>
                <w:sz w:val="14"/>
                <w:szCs w:val="14"/>
                <w:color w:val="auto"/>
              </w:rPr>
            </w:pP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8,633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(416)</w:t>
            </w:r>
          </w:p>
        </w:tc>
      </w:tr>
      <w:tr>
        <w:trPr>
          <w:trHeight w:val="20"/>
        </w:trPr>
        <w:tc>
          <w:tcPr>
            <w:tcW w:w="4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-135890</wp:posOffset>
            </wp:positionV>
            <wp:extent cx="4762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-135890</wp:posOffset>
            </wp:positionV>
            <wp:extent cx="4762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-135890</wp:posOffset>
            </wp:positionV>
            <wp:extent cx="5461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51"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General and administrative expenses decreased by $0.4 million and was primarily attributable to a $0.3 million decrease in legal and professional fees, offset by a $0.5 million increase in personnel expenses. General and administrative expenses included non-cash stock compensation expense of $1.2 million and $1.7 million for the first quarter of 2026 and 2025, respectively.</w:t>
      </w:r>
    </w:p>
    <w:p>
      <w:pPr>
        <w:spacing w:after="0" w:line="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Other (Expense) Income</w:t>
      </w:r>
    </w:p>
    <w:p>
      <w:pPr>
        <w:spacing w:after="0" w:line="99"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Other income has decreased $1.7 million in the three months ended March 31, 2026 compared to the same period in 2025 primarily due to a decrease in interest income attributable to lower cash balances available for investment.</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101"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have not generated any revenue from product sales and have incurred net losses and negative cash flows from our operations. Our primary use of cash is to fund operating expenses, which consist primarily of research and development expenditures, and to a lesser extent, general and administrative expenditures. Under the terms of the Amgen Agreement, we received an upfront payment of $30.0 million in July 2023. In addition, we are eligible to earn success-based milestone payments of over $500 million, based upon the achievement of certain clinical development and commercial milestones, as well as tiered single-digit royalty payments on net sales of products developed from the collaboration, subject to reductions set forth in the Amgen Agreement.</w:t>
      </w:r>
    </w:p>
    <w:p>
      <w:pPr>
        <w:spacing w:after="0" w:line="14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On June 1, 2023, we completed an underwritten public offering of (a) 23,287,134 shares of the Company's Voting Common Stock, inclusive of the underwriters’ 30-day option to purchase 297,660 additional shares of Voting Common Stock, at a price of $2.00 per share, and (b) the Pre-Funded Warrants to purchase up to 47,010,526 shares of the Voting Common Stock with an exercise price of $0.0001 per share. The Pre-Funded Warrants were issued at a purchase price of $1.9999 per warrant, resulting in aggregate net proceeds from the offering of $134.7 million after deducting underwriting discounts, commissions and other offering expenses.</w:t>
      </w:r>
    </w:p>
    <w:p>
      <w:pPr>
        <w:spacing w:after="0" w:line="142"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On April 24, 2024, we completed an underwritten public offering resulting in the issuance and sale of (a) 4,958,068 shares of Voting Common Stock, including the partial exercise of the underwriters’ option to purchase 2,485,487 additional shares of Voting Common Stock, at the closing market price on April 16, 2024, of $7.13 per share, and (b) Pre-Funded Warrants to purchase up to 18,577,419 shares of the Voting Common Stock with an exercise price of $0.0001 per share. The Pre-Funded Warrants were issued at a purchase price of $7.1299 per warrant, resulting in aggregate net proceeds of approximately $161.4 million after deducting underwriting discounts, commissions and other estimated offering expenses.</w:t>
      </w:r>
    </w:p>
    <w:p>
      <w:pPr>
        <w:spacing w:after="0" w:line="14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Pursuant to the K2HV Loan Agreement dated September 9, 2022, K2HV extended an initial convertible term loan of $30.0 million to the Company. On November 20, 2024, K2HV converted $15.0 million outstanding principal under the loan in exchange for 3,134,796 shares of our Voting Common Stock. On December 20, 2024, we entered into the SVB Loan Agreement, terminated the K2HV Loan Agreement and repaid all remaining outstanding loan obligations to K2HV. The SVB Loan Agreement provides for term loans up to an aggregate principal amount of $52.5 million, of which $32.5 million was provided on the closing date. We have the option to draw a second tranche of $20.0 million at the lender's sole discretion on or prior to June 30, 2026. See “Notes to Condensed Consolidated Financial Statements” and “Item 1A. Risk factors—The terms of our loan agreement place restrictions on our operating and financial flexibility. If we raise additional capital through debt financing, the terms of any new debt could further restrict our operating and financial flexibility” for additional details regarding the SVB Loan Agreement.</w:t>
      </w:r>
    </w:p>
    <w:p>
      <w:pPr>
        <w:spacing w:after="0" w:line="149"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On December 27, 2024, we completed a registered direct offering with an existing investor for the issuance of Pre-Funded Warrants to purchase up to 7,500,000 shares of the Company's Voting Common Stock with an exercise price of $0.0001 per warrant. The Pre-Funded Warrants were issued at a purchase price of $4.00 per warrant, resulting in gross proceeds of approximately $30.0 million, before deducting offering expenses of $0.2 million.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22" w:name="page23"/>
    <w:bookmarkEnd w:id="22"/>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As of March 31, 2026, we had cash and cash equivalents of $128.1 million, excluding restricted cash of $5.0 million, which is expected to fund operations into the second half of 2027.</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Funding requirements</w:t>
      </w:r>
    </w:p>
    <w:p>
      <w:pPr>
        <w:spacing w:after="0" w:line="101"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expect our expenses to increase substantially in connection with our ongoing activities, particularly as we advance our research programs into preclinical and clinical development. In addition, we expect to continue to incur additional costs associated with operating as a public company. The timing and amount of our operating expenditures will depend largely on:</w:t>
      </w:r>
    </w:p>
    <w:p>
      <w:pPr>
        <w:spacing w:after="0" w:line="50" w:lineRule="exact"/>
        <w:rPr>
          <w:sz w:val="20"/>
          <w:szCs w:val="20"/>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identification of additional research programs and product candidates;</w:t>
      </w:r>
    </w:p>
    <w:p>
      <w:pPr>
        <w:spacing w:after="0" w:line="96" w:lineRule="exact"/>
        <w:rPr>
          <w:rFonts w:ascii="Times New Roman" w:cs="Times New Roman" w:eastAsia="Times New Roman" w:hAnsi="Times New Roman"/>
          <w:sz w:val="14"/>
          <w:szCs w:val="14"/>
          <w:color w:val="auto"/>
        </w:rPr>
      </w:pPr>
    </w:p>
    <w:p>
      <w:pPr>
        <w:jc w:val="both"/>
        <w:ind w:left="1340" w:right="659" w:hanging="352"/>
        <w:spacing w:after="0" w:line="292" w:lineRule="auto"/>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progress, results and costs of research and development for our current and future product candidates, including our current and planned clinical trials, and ongoing preclinical development for our current and future product candidates;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review of any product candidates we may develop;</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decision to initiate a clinical trial, not to initiate a clinical trial or to terminate a clinical trial;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decision to develop and expand our manufacturing capabilities;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decision to invest in facilities to enable growth;</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investing in next-generation T cell engineering capabilities;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applicable to any product candidates we may develop, including but not limited to clinical trial requirements for approvals;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timing of obtaining materials to produce adequate supply for any preclinical or clinical development of any product candidate we may develop;</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future commercialization activities, including manufacturing, marketing, sales and distribution, for any product candidate we may develop for which we obtain marketing approval;</w:t>
      </w:r>
    </w:p>
    <w:p>
      <w:pPr>
        <w:spacing w:after="0" w:line="37" w:lineRule="exact"/>
        <w:rPr>
          <w:rFonts w:ascii="Times New Roman" w:cs="Times New Roman" w:eastAsia="Times New Roman" w:hAnsi="Times New Roman"/>
          <w:sz w:val="14"/>
          <w:szCs w:val="14"/>
          <w:color w:val="auto"/>
        </w:rPr>
      </w:pPr>
    </w:p>
    <w:p>
      <w:pPr>
        <w:ind w:left="1340" w:right="659" w:hanging="352"/>
        <w:spacing w:after="0" w:line="266" w:lineRule="auto"/>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legal costs involved in prosecuting patent applications and enforcing patent claims and other intellectual property claims;</w:t>
      </w:r>
    </w:p>
    <w:p>
      <w:pPr>
        <w:spacing w:after="0" w:line="251"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scientific or management personnel;</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collaborations on favorable terms, if at all, as well as the costs and timing of any collaboration, license or other arrangement, including the terms and timing of any milestone payments thereunder; and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continuing to operate as a public company.</w:t>
      </w:r>
    </w:p>
    <w:p>
      <w:pPr>
        <w:spacing w:after="0" w:line="97"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believe that our existing cash and cash equivalents will enable us to fund our current operating plan into the second half of 2027. We have based this estimate on assumptions that may prove to be wrong, and we could utilize our available capital resources sooner than we expect.</w:t>
      </w:r>
    </w:p>
    <w:p>
      <w:pPr>
        <w:spacing w:after="0" w:line="50"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In the event a convertible debt facility is converted to shares of common stock, such conversion could result in additional and substantial dilution to our existing and future stockholders. If we raise additional funds through additional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61"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We have not yet received regulatory approval for or commercialized any of our product candidates and do not expect to generate revenue from product sales for several years, if at all. We do not expect to generate any product revenue unless and until we (1) complete development of any of our product candidates; (2) obtain applicable regulatory approvals; and (3) successfully commercialize or enter into collaborative agreements for our product candidates. We do not know with certainty when, or if, any of these items will ultimately occur. We expect to incur continuing significant losses for the foreseeable future and our losses to increase as we ramp up our preclinical and clinical development programs. We may encounter unforeseen expenses, difficulties, complications, delays and other currently unknown factors that could adversely affect our business.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23" w:name="page24"/>
    <w:bookmarkEnd w:id="23"/>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While we remain an emerging growth company and a smaller reporting company, we are not required to include an attestation report on internal control over financial reporting issued by our independent registered public accounting firm. However, as we continue to evolve as a business, we will incur increased costs related to legal and financial compliance.</w:t>
      </w:r>
    </w:p>
    <w:p>
      <w:pPr>
        <w:spacing w:after="0" w:line="50" w:lineRule="exact"/>
        <w:rPr>
          <w:sz w:val="20"/>
          <w:szCs w:val="20"/>
          <w:color w:val="auto"/>
        </w:rPr>
      </w:pPr>
    </w:p>
    <w:p>
      <w:pPr>
        <w:jc w:val="both"/>
        <w:ind w:left="640" w:right="639" w:firstLine="351"/>
        <w:spacing w:after="0" w:line="274" w:lineRule="auto"/>
        <w:rPr>
          <w:sz w:val="20"/>
          <w:szCs w:val="20"/>
          <w:color w:val="auto"/>
        </w:rPr>
      </w:pPr>
      <w:r>
        <w:rPr>
          <w:rFonts w:ascii="Times New Roman" w:cs="Times New Roman" w:eastAsia="Times New Roman" w:hAnsi="Times New Roman"/>
          <w:sz w:val="14"/>
          <w:szCs w:val="14"/>
          <w:color w:val="auto"/>
        </w:rPr>
        <w:t>We will require additional capital to develop our product candidates and fund our operations into the foreseeable future. We anticipate that we will eventually need to raise substantial additional capital, the requirements for which will depend on many factors, including:</w:t>
      </w:r>
    </w:p>
    <w:p>
      <w:pPr>
        <w:spacing w:after="0" w:line="50" w:lineRule="exact"/>
        <w:rPr>
          <w:sz w:val="20"/>
          <w:szCs w:val="20"/>
          <w:color w:val="auto"/>
        </w:rPr>
      </w:pPr>
    </w:p>
    <w:p>
      <w:pPr>
        <w:ind w:left="1340" w:right="659" w:hanging="352"/>
        <w:spacing w:after="0" w:line="292"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timing, rate of progress and costs of our drug discovery efforts, preclinical development activities, laboratory testing and clinical trials for our product candidates;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scope of clinical programs we decide to pursue;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timing and outcome of preparing for and undergoing regulatory review of our product candidates;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and costs of development and manufacturing activities;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timing associated with commercializing our product candidates, if they receive marketing approval;</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revenue, if any, received from commercial sales of our product candidates, should any of our product candidates receive marketing approval;</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achievement of milestones or occurrence of other developments that trigger payments under any collaboration agreements we might have at such time;</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in-license other product candidates and technologies;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preparing, filing and prosecuting patent applications, maintaining and enforcing our intellectual property rights and defending intellectual property-related claims;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collaborations on favorable terms, if at all;</w:t>
      </w:r>
    </w:p>
    <w:p>
      <w:pPr>
        <w:spacing w:after="0" w:line="96" w:lineRule="exact"/>
        <w:rPr>
          <w:rFonts w:ascii="Times New Roman" w:cs="Times New Roman" w:eastAsia="Times New Roman" w:hAnsi="Times New Roman"/>
          <w:sz w:val="14"/>
          <w:szCs w:val="14"/>
          <w:color w:val="auto"/>
        </w:rPr>
      </w:pPr>
    </w:p>
    <w:p>
      <w:pPr>
        <w:jc w:val="both"/>
        <w:ind w:left="1340" w:right="659" w:hanging="352"/>
        <w:spacing w:after="0" w:line="285" w:lineRule="auto"/>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219"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implementation of various computerized information systems;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 of health crises and other external disruptions on our clinical development or operations;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being a public company.</w:t>
      </w:r>
    </w:p>
    <w:p>
      <w:pPr>
        <w:spacing w:after="0" w:line="97"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60"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Adequate funding may not be available to us on acceptable terms or at all. If we are unable to raise capital when needed, it could have a negative impact on our financial condition and our ability to pursue our business strategies.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Part II, Item 1A. “Risk Factors” of this Quarterly Report for additional risks associated with our substantial capital requirements.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our sources and uses of cash for each of the periods presented (in thousands):</w:t>
      </w:r>
    </w:p>
    <w:p>
      <w:pPr>
        <w:spacing w:after="0" w:line="19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4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60" w:type="dxa"/>
            <w:vAlign w:val="bottom"/>
            <w:gridSpan w:val="5"/>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45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75"/>
              <w:spacing w:after="0" w:line="109" w:lineRule="exact"/>
              <w:rPr>
                <w:sz w:val="20"/>
                <w:szCs w:val="20"/>
                <w:color w:val="auto"/>
              </w:rPr>
            </w:pPr>
            <w:r>
              <w:rPr>
                <w:rFonts w:ascii="Times New Roman" w:cs="Times New Roman" w:eastAsia="Times New Roman" w:hAnsi="Times New Roman"/>
                <w:sz w:val="11"/>
                <w:szCs w:val="11"/>
                <w:b w:val="1"/>
                <w:bCs w:val="1"/>
                <w:color w:val="auto"/>
              </w:rPr>
              <w:t>2026</w:t>
            </w:r>
          </w:p>
        </w:tc>
        <w:tc>
          <w:tcPr>
            <w:tcW w:w="1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271"/>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(24,279)</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(37,586)</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13,307</w:t>
            </w:r>
          </w:p>
        </w:tc>
        <w:tc>
          <w:tcPr>
            <w:tcW w:w="0" w:type="dxa"/>
            <w:vAlign w:val="bottom"/>
          </w:tcPr>
          <w:p>
            <w:pPr>
              <w:spacing w:after="0"/>
              <w:rPr>
                <w:sz w:val="1"/>
                <w:szCs w:val="1"/>
                <w:color w:val="auto"/>
              </w:rPr>
            </w:pPr>
          </w:p>
        </w:tc>
      </w:tr>
      <w:tr>
        <w:trPr>
          <w:trHeight w:val="172"/>
        </w:trPr>
        <w:tc>
          <w:tcPr>
            <w:tcW w:w="458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(70)</w:t>
            </w:r>
          </w:p>
        </w:tc>
        <w:tc>
          <w:tcPr>
            <w:tcW w:w="2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13,530</w:t>
            </w:r>
          </w:p>
        </w:tc>
        <w:tc>
          <w:tcPr>
            <w:tcW w:w="1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(13,600)</w:t>
            </w:r>
          </w:p>
        </w:tc>
        <w:tc>
          <w:tcPr>
            <w:tcW w:w="0" w:type="dxa"/>
            <w:vAlign w:val="bottom"/>
          </w:tcPr>
          <w:p>
            <w:pPr>
              <w:spacing w:after="0"/>
              <w:rPr>
                <w:sz w:val="1"/>
                <w:szCs w:val="1"/>
                <w:color w:val="auto"/>
              </w:rPr>
            </w:pPr>
          </w:p>
        </w:tc>
      </w:tr>
      <w:tr>
        <w:trPr>
          <w:trHeight w:val="172"/>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(525)</w:t>
            </w: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(24,349)</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(24,581)</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-135890</wp:posOffset>
            </wp:positionV>
            <wp:extent cx="4762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-135890</wp:posOffset>
            </wp:positionV>
            <wp:extent cx="4762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5260340</wp:posOffset>
            </wp:positionH>
            <wp:positionV relativeFrom="paragraph">
              <wp:posOffset>-135890</wp:posOffset>
            </wp:positionV>
            <wp:extent cx="5461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01" w:lineRule="exact"/>
        <w:rPr>
          <w:sz w:val="20"/>
          <w:szCs w:val="20"/>
          <w:color w:val="auto"/>
        </w:rPr>
      </w:pPr>
    </w:p>
    <w:p>
      <w:pPr>
        <w:jc w:val="both"/>
        <w:ind w:left="640" w:right="639" w:firstLine="351"/>
        <w:spacing w:after="0" w:line="268" w:lineRule="auto"/>
        <w:rPr>
          <w:sz w:val="20"/>
          <w:szCs w:val="20"/>
          <w:color w:val="auto"/>
        </w:rPr>
      </w:pPr>
      <w:r>
        <w:rPr>
          <w:rFonts w:ascii="Times New Roman" w:cs="Times New Roman" w:eastAsia="Times New Roman" w:hAnsi="Times New Roman"/>
          <w:sz w:val="14"/>
          <w:szCs w:val="14"/>
          <w:color w:val="auto"/>
        </w:rPr>
        <w:t>During the three months ended March 31, 2026, net cash used in operating activities of $24.3 million was primarily driven by our net loss of $28.7 million, partially offset by non-cash charges of $3.3 million related to depreciation expense, stock-based compensation, and non-cash interest expense related to note payable. During the three months ended March 31, 2026, working capital changes contributed $1.1 million. The change in working capital was primarily driven by timing of vendor payments.</w:t>
      </w:r>
    </w:p>
    <w:p>
      <w:pPr>
        <w:spacing w:after="0" w:line="54" w:lineRule="exact"/>
        <w:rPr>
          <w:sz w:val="20"/>
          <w:szCs w:val="20"/>
          <w:color w:val="auto"/>
        </w:rPr>
      </w:pPr>
    </w:p>
    <w:p>
      <w:pPr>
        <w:jc w:val="both"/>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During the three months ended March 31, 2025, net cash used in operating activities of $37.6 million was primarily driven by our net loss of $34.1 million, partially offset by non-cash charges of $2.9 million related to depreciation expense, accretion of marketable securities, stock-based compensation, and non-cash interest expense related to note payable. During the three months ended March 31, 2025, working capital changes resulted in a use of $6.4 million. The change in working capital was primarily driven by changes in accrued expenses related to research and development activities.</w:t>
      </w:r>
    </w:p>
    <w:p>
      <w:pPr>
        <w:spacing w:after="0" w:line="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01"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During the three months ended March 31, 2026, net cash used in investing activities was $0.1 million, primarily related to the purchases of property and equipment.</w:t>
      </w:r>
    </w:p>
    <w:p>
      <w:pPr>
        <w:spacing w:after="0" w:line="38"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During the three months ended March 31, 2025, net cash used in investing activities was $13.5 million, primarily related to the purchases and maturities of marketable securities, and the purchases of property and equipment.</w:t>
      </w:r>
    </w:p>
    <w:p>
      <w:pPr>
        <w:spacing w:after="0" w:line="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During the three months ended March 31, 2026, no net cash was provided by or used in financing activities.</w:t>
      </w:r>
    </w:p>
    <w:p>
      <w:pPr>
        <w:spacing w:after="0" w:line="97"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During the three months ended March 31, 2025, net cash used in financing activities was $0.5 million, consisting of cash paid for debt issuance and financing costs previously accrued.</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9"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Our condensed financial statements are prepared in accordance with GAAP. The preparation of financial statements and related disclosures require us to make estimates and judgments that affect the reported amounts of assets, liabilities, revenues, costs and expenses. We base our estimates on historical experience, known trends and events and on various other factors that we believe to be reasonable under the circumstances. We evaluate our estimates and assumptions on an ongoing basis. Our actual results may differ from these estimates under different assumptions or conditions.</w:t>
      </w:r>
    </w:p>
    <w:p>
      <w:pPr>
        <w:spacing w:after="0" w:line="56"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There have been no material changes to our critical accounting policies and estimates from those disclosed in our financial statements and the related notes and other financial information included in our Annual Report on Form 10-K filed with the SEC on March 4, 2026.</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Emerging Growth Company and Smaller Reporting Company Status</w:t>
      </w:r>
    </w:p>
    <w:p>
      <w:pPr>
        <w:spacing w:after="0" w:line="99"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The Jumpstart Our Business Startups Act of 2012 (JOBS Act) permits an “emerging growth company” to take advantage of an extended transition period to comply with new or revised accounting standards applicable to public companies until those standards would otherwise apply to private companies. The Company qualifies as an “emerging growth company” under the JOBS Act and has elected to “opt in” to the extended transition related to complying with new or revised accounting standards,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p>
    <w:p>
      <w:pPr>
        <w:spacing w:after="0" w:line="60" w:lineRule="exact"/>
        <w:rPr>
          <w:sz w:val="20"/>
          <w:szCs w:val="20"/>
          <w:color w:val="auto"/>
        </w:rPr>
      </w:pPr>
    </w:p>
    <w:p>
      <w:pPr>
        <w:jc w:val="both"/>
        <w:ind w:left="640" w:right="659" w:firstLine="351"/>
        <w:spacing w:after="0" w:line="285" w:lineRule="auto"/>
        <w:rPr>
          <w:sz w:val="20"/>
          <w:szCs w:val="20"/>
          <w:color w:val="auto"/>
        </w:rPr>
      </w:pPr>
      <w:r>
        <w:rPr>
          <w:rFonts w:ascii="Times New Roman" w:cs="Times New Roman" w:eastAsia="Times New Roman" w:hAnsi="Times New Roman"/>
          <w:sz w:val="14"/>
          <w:szCs w:val="14"/>
          <w:color w:val="auto"/>
        </w:rPr>
        <w:t>We are also a “smaller reporting company” meaning that the market value of our stock held by non-affiliates plus the aggregate amount of gross proceeds to us as a result of the IPO is less than $700 million and our annual revenue was less than $100 million during</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0" w:right="1440" w:bottom="1440" w:gutter="0" w:footer="0" w:header="0"/>
        </w:sectPr>
      </w:pPr>
    </w:p>
    <w:bookmarkStart w:id="25" w:name="page26"/>
    <w:bookmarkEnd w:id="25"/>
    <w:p>
      <w:pPr>
        <w:jc w:val="both"/>
        <w:ind w:left="640" w:right="659"/>
        <w:spacing w:after="0" w:line="261" w:lineRule="auto"/>
        <w:rPr>
          <w:sz w:val="20"/>
          <w:szCs w:val="20"/>
          <w:color w:val="auto"/>
        </w:rPr>
      </w:pPr>
      <w:r>
        <w:rPr>
          <w:rFonts w:ascii="Times New Roman" w:cs="Times New Roman" w:eastAsia="Times New Roman" w:hAnsi="Times New Roman"/>
          <w:sz w:val="14"/>
          <w:szCs w:val="14"/>
          <w:color w:val="auto"/>
        </w:rPr>
        <w:t>the most recently completed fiscal year. We may continue to be a smaller reporting company if either (i) the market value of our common stock held by non-affiliates is less than $250 million, or (ii) our annual revenue was less than $100 million during the most recently completed fiscal year and the market value of our common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99"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We are a "smaller reporting company", as defined in Item 10(f)(1) of Regulation S-K, and are not required to provide the information required under this item.</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01"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Our management, under the supervision and with the participation of our Principal Executive Officer (our Chief Executive Officer) and Principal Financial and Accounting Officer (our Chief Financial Officer), has evaluated the effectiveness of our disclosure controls and procedures as of March 31, 2026.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Principal Executive Officer and Principal Financial and Accounting Officer have concluded that, as of such date, our disclosure controls and procedures were effective at the reasonable assurance level.</w:t>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01"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No change in our internal control over financial reporting (as defined in Rules 13a-15(f) and 15d-15(f) under the Exchange Act) occurred during the period ended March 31, 2026 that has materially affected, or is reasonably likely to materially affect, our internal control over financial reporting.</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9"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7" w:lineRule="exact"/>
        <w:rPr>
          <w:sz w:val="20"/>
          <w:szCs w:val="20"/>
          <w:color w:val="auto"/>
        </w:rPr>
      </w:pPr>
    </w:p>
    <w:p>
      <w:pPr>
        <w:jc w:val="both"/>
        <w:ind w:left="640" w:right="639"/>
        <w:spacing w:after="0" w:line="265" w:lineRule="auto"/>
        <w:rPr>
          <w:sz w:val="20"/>
          <w:szCs w:val="20"/>
          <w:color w:val="auto"/>
        </w:rPr>
      </w:pPr>
      <w:r>
        <w:rPr>
          <w:rFonts w:ascii="Times New Roman" w:cs="Times New Roman" w:eastAsia="Times New Roman" w:hAnsi="Times New Roman"/>
          <w:sz w:val="14"/>
          <w:szCs w:val="14"/>
          <w:i w:val="1"/>
          <w:iCs w:val="1"/>
          <w:color w:val="auto"/>
        </w:rPr>
        <w:t>Investing in our common stock involves a high degree of risk. You should consider carefully the risks and uncertainties described below, together with all of the other information in this Quarterly Report on Form-10-Q, and in other documents that we file with the SEC.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w:t>
      </w:r>
    </w:p>
    <w:p>
      <w:pPr>
        <w:spacing w:after="0" w:line="228" w:lineRule="exact"/>
        <w:rPr>
          <w:sz w:val="20"/>
          <w:szCs w:val="20"/>
          <w:color w:val="auto"/>
        </w:rPr>
      </w:pPr>
    </w:p>
    <w:p>
      <w:pPr>
        <w:jc w:val="both"/>
        <w:ind w:left="640" w:right="659"/>
        <w:spacing w:after="0" w:line="295" w:lineRule="auto"/>
        <w:rPr>
          <w:sz w:val="20"/>
          <w:szCs w:val="20"/>
          <w:color w:val="auto"/>
        </w:rPr>
      </w:pPr>
      <w:r>
        <w:rPr>
          <w:rFonts w:ascii="Times New Roman" w:cs="Times New Roman" w:eastAsia="Times New Roman" w:hAnsi="Times New Roman"/>
          <w:sz w:val="14"/>
          <w:szCs w:val="14"/>
          <w:i w:val="1"/>
          <w:iCs w:val="1"/>
          <w:color w:val="auto"/>
        </w:rPr>
        <w:t>The risk factors denoted with a “*”, if any, are newly added or have been materially updated from our Annual Report on Form 10-K filed with the SEC on March 4, 2026.</w:t>
      </w: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95"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incurred significant losses since inception, and we expect to incur losses over the next several years and may not be able to achieve or sustain revenues or profitability in the future.</w:t>
      </w:r>
    </w:p>
    <w:p>
      <w:pPr>
        <w:spacing w:after="0" w:line="34"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Investment in biotechnology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still in the early stages of development of our product candidates and have initiated clinical trials for certain of our product candidates. We have no products licensed for commercial sale and have not generated any revenue from product sales to date, and we continue to incur significant research and development and other expenses related to our ongoing operations. We have financed our operations primarily through equity and debt issuances, borrowings under secured loan agreements and upfront payments under our existing or previous collaborations.</w:t>
      </w:r>
    </w:p>
    <w:p>
      <w:pPr>
        <w:spacing w:after="0" w:line="14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have incurred significant net losses in each period since our inception in April 2018. For the three months ended March 31, 2026 and the years ended December 31, 2025 and 2024, we reported net losses of $28.7 million, $129.8 million, and $127.5 million, respectively. As of March 31, 2026, we had an accumulated deficit of $533.5 million. We expect to continue to incur significant losses for the foreseeable future, and we expect these losses to increase substantially if and as we:</w:t>
      </w:r>
    </w:p>
    <w:p>
      <w:pPr>
        <w:spacing w:after="0" w:line="54" w:lineRule="exact"/>
        <w:rPr>
          <w:sz w:val="20"/>
          <w:szCs w:val="20"/>
          <w:color w:val="auto"/>
        </w:rPr>
      </w:pPr>
    </w:p>
    <w:p>
      <w:pPr>
        <w:ind w:left="1340" w:right="659" w:hanging="352"/>
        <w:spacing w:after="0" w:line="292" w:lineRule="auto"/>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our research and development efforts to identify and develop product candidates and submit additional IND applications for such product candidates;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preclinical studies and commence and complete clinical trials for our current and future product candidates based on our proprietary platform;</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processes suitable for manufacturing and clinical development;</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develop and expand our manufacturing capabilities;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marketing approvals for any of our product candidates that successfully complete clinical trials;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 commercial infrastructure to support sales and marketing for our product candidates;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maintain and protect our intellectual property portfolio;</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additional personnel;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operate as a public company.</w:t>
      </w:r>
    </w:p>
    <w:p>
      <w:pPr>
        <w:spacing w:after="0" w:line="183"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Because of the numerous risks and uncertainties associated with biotechnology product research and development, we are unable to accurately predict the timing or amount of the increased expenses we will incur or when, if ever, we will be able to achieve profitability. Even if we succeed in commercializing one or more of our product candidates, we will continue to incur substantial research and development expenses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2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Our business depends upon the success of our proprietary platform.</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Our success depends on our ability to use our proprietary platform (i) to discover the natural targets of clinically relevant TCRs,</w:t>
      </w:r>
    </w:p>
    <w:p>
      <w:pPr>
        <w:spacing w:after="0" w:line="25" w:lineRule="exact"/>
        <w:rPr>
          <w:sz w:val="20"/>
          <w:szCs w:val="20"/>
          <w:color w:val="auto"/>
        </w:rPr>
      </w:pPr>
    </w:p>
    <w:p>
      <w:pPr>
        <w:jc w:val="center"/>
        <w:ind w:left="4440" w:right="1199" w:hanging="3802"/>
        <w:spacing w:after="0" w:line="400" w:lineRule="auto"/>
        <w:tabs>
          <w:tab w:leader="none" w:pos="8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discover highly active TCRs for known targets, (iii) to genetically engineer patient- or donor-derived T cells safely and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301625</wp:posOffset>
            </wp:positionV>
            <wp:extent cx="56038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28" w:name="page29"/>
    <w:bookmarkEnd w:id="28"/>
    <w:p>
      <w:pPr>
        <w:jc w:val="both"/>
        <w:ind w:left="640" w:right="659"/>
        <w:spacing w:after="0" w:line="261" w:lineRule="auto"/>
        <w:rPr>
          <w:sz w:val="20"/>
          <w:szCs w:val="20"/>
          <w:color w:val="auto"/>
        </w:rPr>
      </w:pPr>
      <w:r>
        <w:rPr>
          <w:rFonts w:ascii="Times New Roman" w:cs="Times New Roman" w:eastAsia="Times New Roman" w:hAnsi="Times New Roman"/>
          <w:sz w:val="14"/>
          <w:szCs w:val="14"/>
          <w:color w:val="auto"/>
        </w:rPr>
        <w:t>reproducibly, (iv) to obtain regulatory approval for product candidates derived from our proprietary platform and related technologies, and (v) to then commercialize our product candidates that address one or more indications. All of our product candidates will require significant additional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Some of our product candidates are currently being evaluated in humans and may never become commercialized. Moreover, our current product candidates leverage the same or similar technology and use the same or similar manufacturing processes. As a result, an issue with one product candidate could adversely impact our ability to successfully develop and commercialize other product candidates, particularly ones within the same clinical program.</w:t>
      </w:r>
    </w:p>
    <w:p>
      <w:pPr>
        <w:spacing w:after="0" w:line="146"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 addition, the success of our proprietary platform in discovering novel targets for TCR-T therapy product candidates is dependent on us obtaining tumor samples from cancer patients who actively respond to cancer immunotherapies. If our ability to obtain a significant amount of such tumor samples in a timely manner is compromised due to unforeseen circumstances, we may not be successful in discovering novel targets and creating new product candidates based on such targets.</w:t>
      </w:r>
    </w:p>
    <w:p>
      <w:pPr>
        <w:spacing w:after="0" w:line="222"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limited operating history may make it difficult to evaluate the success of our business to date and to assess our future viability.</w:t>
      </w:r>
    </w:p>
    <w:p>
      <w:pPr>
        <w:spacing w:after="0" w:line="3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are a clinical-stage biotechnology company with a limited operating history. We commenced operations in April 2018, and our operations to date have been limited to organizing and staffing our Company, business planning, raising capital, conducting discovery and research activities, filing patent applications, identifying potential product candidates, undertaking preclinical studies and initiating clinical trials, entering into licenses and collaborations, establishing capabilities to manufacture our product candidates, and establishing arrangements for component materials for such manufacturing. Although we have initiated clinical trials for certain of our product candidates, we have not yet demonstrated our ability to successfully conduct or complete any clinical trials, obtain marketing approvals, manufacture clinical or commercial-scale product or arrange for a third party to do so on our behalf, or conduct sales, marketing and distribution activities necessary for successful product commercialization. Consequently, any predictions about our future success or viability may not be as accurate as they could be if we had a longer operating history.</w:t>
      </w:r>
    </w:p>
    <w:p>
      <w:pPr>
        <w:spacing w:after="0" w:line="149" w:lineRule="exact"/>
        <w:rPr>
          <w:sz w:val="20"/>
          <w:szCs w:val="20"/>
          <w:color w:val="auto"/>
        </w:rPr>
      </w:pPr>
    </w:p>
    <w:p>
      <w:pPr>
        <w:jc w:val="both"/>
        <w:ind w:left="640" w:right="639" w:firstLine="351"/>
        <w:spacing w:after="0" w:line="274" w:lineRule="auto"/>
        <w:rPr>
          <w:sz w:val="20"/>
          <w:szCs w:val="20"/>
          <w:color w:val="auto"/>
        </w:rPr>
      </w:pPr>
      <w:r>
        <w:rPr>
          <w:rFonts w:ascii="Times New Roman" w:cs="Times New Roman" w:eastAsia="Times New Roman" w:hAnsi="Times New Roman"/>
          <w:sz w:val="14"/>
          <w:szCs w:val="14"/>
          <w:color w:val="auto"/>
        </w:rPr>
        <w:t>In addition, as a young business, we may encounter unforeseen expenses, difficulties, complications, delays and other known and unknown factors. We eventually may need to transition at some point from a company with a research and development focus to a company capable of supporting commercial activities. We may not be successful in such a transition.</w:t>
      </w:r>
    </w:p>
    <w:p>
      <w:pPr>
        <w:spacing w:after="0" w:line="136"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expect our financial condition and operating results to continue to fluctuate significantly from quarter to quarter and year to year due to a variety of factors, many of which are beyond our control. Accordingly, the results of any quarterly or annual periods should not be relied upon as indications of future operating performance.</w:t>
      </w:r>
    </w:p>
    <w:p>
      <w:pPr>
        <w:spacing w:after="0" w:line="218"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never generated any revenue from sales of our TCR-T therapy product candidates and our ability to generate revenue from product sales and become profitable depends significantly on our success in a number of areas.</w:t>
      </w:r>
    </w:p>
    <w:p>
      <w:pPr>
        <w:spacing w:after="0" w:line="3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Our ability to become profitable depends upon our ability to generate revenue. To date, we have not generated any revenue from sales of any of our product candidates. We do not expect to generate significant revenue unless or until we successfully complete clinical development and obtain regulatory approval of, and then successfully commercialize, at least one of our product candidates. Although we have initiated clinical trials for certain of our product candidates, we have not yet demonstrated an ability to successfully complete clinical trials of our product candidates, obtain marketing approvals, manufacture a commercial-scale medicine, or arrange for a third party to do so on our behalf, or conduct sales and marketing activities necessary for successful commercialization to enable us to generate any revenue from product sales. Our other product candidates are in various stages of preclinical development and, as such, we face significant translational risk as we work to advance these product candidates to the clinical stage. Our ability to generate revenue depends on a number of factors, including, but not limited to:</w:t>
      </w:r>
    </w:p>
    <w:p>
      <w:pPr>
        <w:spacing w:after="0" w:line="63" w:lineRule="exact"/>
        <w:rPr>
          <w:sz w:val="20"/>
          <w:szCs w:val="20"/>
          <w:color w:val="auto"/>
        </w:rPr>
      </w:pPr>
    </w:p>
    <w:p>
      <w:pPr>
        <w:ind w:left="1340" w:right="639" w:hanging="352"/>
        <w:spacing w:after="0" w:line="292" w:lineRule="auto"/>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processes suitable for clinical manufacturing and to obtain related chemistry, manufacturing, and controls (CMC) regulatory approvals;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completion of our preclinical studies and clinical trials, which may be significantly slower or cost more than we currently anticipate and will depend substantially upon the performance of third-party contractors;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complete IND-enabling studies and to continue to successfully submit INDs or comparable applications;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29" w:name="page30"/>
    <w:bookmarkEnd w:id="29"/>
    <w:p>
      <w:pPr>
        <w:jc w:val="both"/>
        <w:ind w:left="1340" w:right="659" w:hanging="352"/>
        <w:spacing w:after="0" w:line="274"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are required by the FDA or similar foreign regulatory authorities to conduct additional clinical trials or other studies beyond those planned to support the approval and commercialization of our product candidates or any future product candidates;</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demonstrate to the satisfaction of the FDA and similar foreign regulatory authorities the safety, potency, purity and acceptable risk to benefit profile of our product candidates or any future product candidates;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duration and severity of potential side effects or other safety issues, including adverse events, experienced with our product candidates or future product candidates, if any;</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timely receipt of necessary marketing approvals from the FDA and similar foreign regulatory authorities;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physicians, operators of clinics and patients to utilize or adopt any of our product candidates or future product candidates to treat patients;</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68"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the ability of our third-party contractors to manufacture adequate clinical and commercial supplies of our product candidates or any future product candidates, to remain in good standing with regulatory authorities and to develop, validate and maintain commercially viable manufacturing processes that are compliant with current good manufacturing practice (cGMP);</w:t>
      </w:r>
    </w:p>
    <w:p>
      <w:pPr>
        <w:spacing w:after="0" w:line="54"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develop a commercial strategy and thereafter commercialize our product candidates or any future product candidates in the U.S. and internationally, if licensed for marketing, reimbursement, sale and distribution in such countries and territories, whether alone or in collaboration with others;</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demand for our product candidates and any future product candidates, if licensed; and</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obtain, maintain, protect and enforce intellectual property and proprietary rights in and to our product candidates or any future product candidates.</w:t>
      </w:r>
    </w:p>
    <w:p>
      <w:pPr>
        <w:spacing w:after="0" w:line="124" w:lineRule="exact"/>
        <w:rPr>
          <w:sz w:val="20"/>
          <w:szCs w:val="20"/>
          <w:color w:val="auto"/>
        </w:rPr>
      </w:pPr>
    </w:p>
    <w:p>
      <w:pPr>
        <w:jc w:val="both"/>
        <w:ind w:left="640" w:right="639" w:firstLine="351"/>
        <w:spacing w:after="0" w:line="267" w:lineRule="auto"/>
        <w:rPr>
          <w:sz w:val="20"/>
          <w:szCs w:val="20"/>
          <w:color w:val="auto"/>
        </w:rPr>
      </w:pPr>
      <w:r>
        <w:rPr>
          <w:rFonts w:ascii="Times New Roman" w:cs="Times New Roman" w:eastAsia="Times New Roman" w:hAnsi="Times New Roman"/>
          <w:sz w:val="14"/>
          <w:szCs w:val="14"/>
          <w:color w:val="auto"/>
        </w:rPr>
        <w:t>Many of the factors listed above are beyond our control and could cause us to experience significant delays or prevent us from obtaining regulatory approvals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396"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will need to obtain substantial additional funding to complete the development and any commercialization of our product candidates, if approved. If we are unable to raise this necessary capital when needed, we could be forced to delay, reduce or eliminate our product development programs, commercialization efforts or other operations.</w:t>
      </w:r>
    </w:p>
    <w:p>
      <w:pPr>
        <w:spacing w:after="0" w:line="48"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Since our inception, we have financed our operations through equity issuances, upfront payments under our collaborations and through our debt financings. The development of biotechnology product candidates is capital intensive and we expect our expenses to increase substantially during the next few years. As our product candidates enter and advance through preclinical studies and clinical trials, we will need substantial additional funds to expand our clinical, regulatory, quality and manufacturing capabilities. In addition, if we obtain marketing approval for any of our product candidates, we expect to incur significant commercialization expenses related to marketing, sales, manufacturing and distribution. Furthermore, we expect to continue to incur additional costs associated with operating as a public company.</w:t>
      </w:r>
    </w:p>
    <w:p>
      <w:pPr>
        <w:spacing w:after="0" w:line="144"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As of March 31, 2026, we had $128.1 million in cash and cash equivalents. We believe that our existing cash and cash equivalents will enable us to fund our current operating plan into the second half of 2027. Accordingly, our existing cash and cash equivalents will not be sufficient for us to fund any of our product candidates through regulatory approval, and we will need to raise substantial additional capital to complete the development and commercialization of our product candidates through equity offerings, debt financings, marketing and distribution arrangements and other collaborations, strategic alliances and licensing arrangements or other sources. We may also need to raise additional funds sooner if we choose to pursue additional indications for our product candidates or otherwise expand more rapidly than we presently anticipate.</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30" w:name="page31"/>
    <w:bookmarkEnd w:id="30"/>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have based these estimates on assumptions that may prove to be incorrect or require adjustment as a result of business decisions, and we could utilize our available capital resources sooner than we currently expect. Our future capital requirements will depend on many factors, including:</w:t>
      </w:r>
    </w:p>
    <w:p>
      <w:pPr>
        <w:spacing w:after="0" w:line="50" w:lineRule="exact"/>
        <w:rPr>
          <w:sz w:val="20"/>
          <w:szCs w:val="20"/>
          <w:color w:val="auto"/>
        </w:rPr>
      </w:pPr>
    </w:p>
    <w:p>
      <w:pPr>
        <w:ind w:left="1340" w:right="659" w:hanging="352"/>
        <w:spacing w:after="0" w:line="292"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rate of progress, costs and results of our drug discovery, preclinical or clinical development activities, laboratory testing and clinical trials for our product candidates;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scope of clinical programs we decide to pursue;</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and costs of manufacturing development and commercial manufacturing activities and our ability to scale them up or out;</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in-license other product candidates and technologies;</w:t>
      </w:r>
    </w:p>
    <w:p>
      <w:pPr>
        <w:spacing w:after="0" w:line="96"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timing and outcome of regulatory review of our product candidates, including the potential for regulatory authorities to require that we conduct more studies and trials than those that we currently expect to conduct and the costs of post-marketing studies or risk evaluation and mitigation strategies that could be required by regulatory authorities;</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changes in the regulatory environment and enforcement rules;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timing of establishing sales and marketing capabilities, if any of our product candidates receive marketing approval;</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preparing, filing and prosecuting patent applications, maintaining, obtaining, protecting and enforcing our intellectual property and proprietary rights and defending intellectual property-related claims;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new and maintain existing licensing or collaboration arrangements and the progress of the development efforts of third parties with whom we may enter into such arrangements;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public health crises or other external disruptions on our business, results of operations, development plans (including any supply related matters) and financial position;</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efforts to enhance operational systems and our ability to attract, hire and retain qualified personnel, including personnel to support the development of our product candidates;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changes in pharmaceutical pricing and reimbursement infrastructure;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being a public company;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associated with commercializing our product candidates, if they receive marketing approval.</w:t>
      </w:r>
    </w:p>
    <w:p>
      <w:pPr>
        <w:spacing w:after="0" w:line="183"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In addition, our product candidates, if approved, may not achieve product sales or commercial success. We do not expect to have any products commercially available for sale for many years, if at all. Accordingly, we will need to obtain substantial additional funding in connection with our continuing operations. Adequate additional financing may not be available to us on acceptable terms, or at all, and may be impacted by the economic climate and market conditions.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 activities and distract from our research and development efforts. We may also seek additional capital due to favorable market conditions or strategic considerations, even if we believe we have sufficient funds for our current or future operating plans.</w:t>
      </w:r>
    </w:p>
    <w:p>
      <w:pPr>
        <w:spacing w:after="0" w:line="233"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Raising additional capital may cause dilution to our existing stockholders, restrict our operations or require us to relinquish rights to our intellectual property or product candidates on unfavorable terms to us.</w:t>
      </w:r>
    </w:p>
    <w:p>
      <w:pPr>
        <w:spacing w:after="0" w:line="34"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We may seek additional capital through a variety of means, including through collaboration arrangements, public or private equity or debt financings, third-party (including government) funding and marketing and distribution arrangements, as well as other strategic alliances and licensing arrangements or any combination of these approaches. However, there can be no assurance that we will be able to raise capital on commercially reasonable terms or at all. To the extent that we raise additional capital through the sale of equity or convertible debt securities, our stockholder ownership interest will be diluted, and the terms may include liquidation preferences or other rights, powers or preferences that may adversely affect rights of our stockholders.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1" w:name="page32"/>
    <w:bookmarkEnd w:id="31"/>
    <w:p>
      <w:pPr>
        <w:jc w:val="both"/>
        <w:ind w:left="640" w:right="659"/>
        <w:spacing w:after="0" w:line="292" w:lineRule="auto"/>
        <w:rPr>
          <w:sz w:val="20"/>
          <w:szCs w:val="20"/>
          <w:color w:val="auto"/>
        </w:rPr>
      </w:pPr>
      <w:r>
        <w:rPr>
          <w:rFonts w:ascii="Times New Roman" w:cs="Times New Roman" w:eastAsia="Times New Roman" w:hAnsi="Times New Roman"/>
          <w:sz w:val="14"/>
          <w:szCs w:val="14"/>
          <w:color w:val="auto"/>
        </w:rPr>
        <w:t>we raise additional capital pursuant to collaborations, licensing arrangements or other strategic partnerships, such agreements may require us to relinquish rights to our technologies or product candidates.</w:t>
      </w:r>
    </w:p>
    <w:p>
      <w:pPr>
        <w:spacing w:after="0" w:line="12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If we are unable to raise additional funds through equity or debt financings, or through collaborations, licensing arrangements or strategic partnerships or other sources when needed, we may be required to delay, limit, reduce or terminate our product development or commercialization efforts.</w:t>
      </w:r>
    </w:p>
    <w:p>
      <w:pPr>
        <w:spacing w:after="0" w:line="218"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Global economic uncertainty and financial market volatility caused by political instability, changes in international trade relationships and conflicts could make it more difficult for us to access financing and could adversely affect our business and operations.</w:t>
      </w:r>
    </w:p>
    <w:p>
      <w:pPr>
        <w:spacing w:after="0" w:line="48"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Our ability to raise capital is subject to the risk of adverse changes in the market value of our stock. Periods of macroeconomic weakness or recession and heightened market volatility caused by adverse geopolitical developments could increase these risks, potentially resulting in adverse impacts on our ability to raise further capital on favorable terms. The impact of geopolitical tension, such as a deterioration in the bilateral relationship between the U.S. and China or in the ongoing conflicts between Russia and Ukraine, and in the Middle East, including resulting sanctions, export controls or other restrictive actions that may be imposed by the U.S. and/or other countries could also lead to disruption, instability and volatility in global trade patterns, which may in turn impact our ability to source necessary reagents, raw materials and other inputs for our research and development operations.</w:t>
      </w:r>
    </w:p>
    <w:p>
      <w:pPr>
        <w:spacing w:after="0" w:line="59"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In addition, political developments impacting government spending and international trade, including changes in trade agreements, potential government shutdowns, trade disputes and tariffs, including tariffs that have been or may in the future be imposed by the U.S. or other countries and future legislation or actions taken by the U.S. or other countries that restrict trade, and protectionist or retaliatory measures taken by the U.S. or other countries, may negatively impact markets and cause weaker macroeconomic conditions. For example, in 2025, the U.S. imposed substantial tariffs on imports from its trading partners, including, without limitation, Canada, Mexico, the EU and China. In response to tariffs, other countries have implemented retaliatory tariffs on U.S. goods. While certain tariffs were subsequently suspended, modified, or temporarily reduced, we cannot predict the results of the U.S. government's trade negotiations or the outcome of ongoing legal challenges to specific tariff policies. The impact of tariffs has already been seen, and we expect will continue to be seen, in global markets. In addition, the Trump administration has expressed an intent to impose tariffs on pharmaceutical imports, with the stated policy objective of reshoring pharmaceutical manufacturing to the United States. Among other means, such tariffs may be imposed by the United States under Section 232 of the Trade Expansion Act of 1962, as amended, pursuant to which the U.S. Department of Commerce recently initiated an investigation to determine the effects of importing pharmaceuticals and pharmaceutical ingredients on national security. Historically, tariffs have led to increased trade and political tensions.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of the abovementioned factors could affect our business, prospects, financial condition, and operating results. The extent and duration of any political instability and resulting market disruptions are impossible to predict but could be substantial. Any such disruptions may also have the effect of heightening many of the other risks and uncertainties described elsewhere in this “Risk Factors” section. We are continuing to monitor global capital markets and assessing the potential impact of these factors on our business.</w:t>
      </w:r>
    </w:p>
    <w:p>
      <w:pPr>
        <w:spacing w:after="0" w:line="200" w:lineRule="exact"/>
        <w:rPr>
          <w:sz w:val="20"/>
          <w:szCs w:val="20"/>
          <w:color w:val="auto"/>
        </w:rPr>
      </w:pPr>
    </w:p>
    <w:p>
      <w:pPr>
        <w:spacing w:after="0" w:line="202"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U.S. Congress and the Trump administration have made and may make substantial changes to fiscal, tax, and other federal policies that may adversely affect our business.</w:t>
      </w:r>
    </w:p>
    <w:p>
      <w:pPr>
        <w:spacing w:after="0" w:line="34"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Since the start of the Trump administration in 2025, there have been significant changes to U.S. trade, healthcare, tax, immigration and government regulatory policy. For example, the U.S. government has imposed substantial tariffs on most countries throughout the world and has further threatened to continue to broadly impose tariffs, which could lead to corresponding punitive actions by the countries with which the U.S. trades. Changes to U.S. policy implemented by the U.S. Congress, the Trump administration or any future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228" w:lineRule="exact"/>
        <w:rPr>
          <w:sz w:val="20"/>
          <w:szCs w:val="20"/>
          <w:color w:val="auto"/>
        </w:rPr>
      </w:pPr>
    </w:p>
    <w:p>
      <w:pPr>
        <w:jc w:val="both"/>
        <w:ind w:left="980" w:right="65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Recent volatility in capital markets and lower market prices for many securities may affect our ability to access new capital through sales of shares of our common stock or issuance of indebtedness, which may impact our liquidity, limit our ability to grow our business, pursue acquisitions or improve our operating infrastructure and restrict our ability to compete in our markets.</w:t>
      </w:r>
    </w:p>
    <w:p>
      <w:pPr>
        <w:spacing w:after="0" w:line="53" w:lineRule="exact"/>
        <w:rPr>
          <w:sz w:val="20"/>
          <w:szCs w:val="20"/>
          <w:color w:val="auto"/>
        </w:rPr>
      </w:pPr>
    </w:p>
    <w:p>
      <w:pPr>
        <w:jc w:val="both"/>
        <w:ind w:left="640" w:right="659" w:firstLine="351"/>
        <w:spacing w:after="0" w:line="285" w:lineRule="auto"/>
        <w:rPr>
          <w:sz w:val="20"/>
          <w:szCs w:val="20"/>
          <w:color w:val="auto"/>
        </w:rPr>
      </w:pPr>
      <w:r>
        <w:rPr>
          <w:rFonts w:ascii="Times New Roman" w:cs="Times New Roman" w:eastAsia="Times New Roman" w:hAnsi="Times New Roman"/>
          <w:sz w:val="14"/>
          <w:szCs w:val="14"/>
          <w:color w:val="auto"/>
        </w:rPr>
        <w:t>Our operations consume substantial amounts of cash, and we intend to continue to make significant investments to support our business growth, respond to business challenges or opportunities, develop new products, retain or expand our current levels of personnel,</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32" w:name="page33"/>
    <w:bookmarkEnd w:id="32"/>
    <w:p>
      <w:pPr>
        <w:jc w:val="both"/>
        <w:ind w:left="640" w:right="659"/>
        <w:spacing w:after="0" w:line="274" w:lineRule="auto"/>
        <w:rPr>
          <w:sz w:val="20"/>
          <w:szCs w:val="20"/>
          <w:color w:val="auto"/>
        </w:rPr>
      </w:pPr>
      <w:r>
        <w:rPr>
          <w:rFonts w:ascii="Times New Roman" w:cs="Times New Roman" w:eastAsia="Times New Roman" w:hAnsi="Times New Roman"/>
          <w:sz w:val="14"/>
          <w:szCs w:val="14"/>
          <w:color w:val="auto"/>
        </w:rPr>
        <w:t>support our programs,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50" w:lineRule="exact"/>
        <w:rPr>
          <w:sz w:val="20"/>
          <w:szCs w:val="20"/>
          <w:color w:val="auto"/>
        </w:rPr>
      </w:pPr>
    </w:p>
    <w:p>
      <w:pPr>
        <w:ind w:left="1340" w:hanging="352"/>
        <w:spacing w:after="0"/>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unanticipated working capital requirements, including clinical manufacturing capacity;</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support our discovery and preclinical development activities, and clinical trials for our product candidates;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pursue acquisitions or other strategic relationships;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respond to competitive pressures.</w:t>
      </w:r>
    </w:p>
    <w:p>
      <w:pPr>
        <w:spacing w:after="0" w:line="183"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228" w:lineRule="exact"/>
        <w:rPr>
          <w:sz w:val="20"/>
          <w:szCs w:val="20"/>
          <w:color w:val="auto"/>
        </w:rPr>
      </w:pPr>
    </w:p>
    <w:p>
      <w:pPr>
        <w:jc w:val="both"/>
        <w:ind w:left="980" w:right="6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48"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Although we are not a borrower or party to any financial instruments with any financial institution currently in receivership, if any of our lenders or counterparties to any such instruments were to be placed into receivership, we may be unable to access such funds.</w:t>
      </w:r>
    </w:p>
    <w:p>
      <w:pPr>
        <w:spacing w:after="0" w:line="14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49"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0" w:lineRule="exact"/>
        <w:rPr>
          <w:sz w:val="20"/>
          <w:szCs w:val="20"/>
          <w:color w:val="auto"/>
        </w:rPr>
      </w:pPr>
    </w:p>
    <w:p>
      <w:pPr>
        <w:ind w:left="1340" w:hanging="352"/>
        <w:spacing w:after="0"/>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delayed access to deposits or other financial assets or the uninsured loss of deposits or other financial assets;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access to revolving existing credit facilities or other working capital sources and/or the inability to refund, roll over or extend the maturity of, or enter into new credit facilities or other working capital resources;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or actual breach of contractual obligations that require us to maintain letters or credit or other credit support arrangements;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or actual breach of financial covenants in our credit agreements or credit arrangements;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or actual cross-defaults in other credit agreements, credit arrangements or operating or financing agreements; or</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cash management arrangements and/or delays in accessing or actual loss of funds subject to cash management arrangements.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33" w:name="page34"/>
    <w:bookmarkEnd w:id="33"/>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46"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In addition, any further deterioration in the macroeconomic economy or financial services industry could lead to losses or defaults by our suppliers, which in turn, could have a material adverse effect on our current and/or projected business operations and results of operations and financial condition. For example, a supplier may determine that it will no longer deal with us as a customer. In addition, a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supplier bankruptcy or insolvency, or any breach or default by a supplier, or the loss of any significant supplier relationships, could result in material losses to us and may have material adverse impacts on our business.</w:t>
      </w:r>
    </w:p>
    <w:p>
      <w:pPr>
        <w:spacing w:after="0" w:line="228"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terms of our loan agreement place restrictions on our operating and financial flexibility. If we raise additional capital through debt financing, the terms of any new debt could further restrict our operating and financial flexibility.</w:t>
      </w:r>
    </w:p>
    <w:p>
      <w:pPr>
        <w:spacing w:after="0" w:line="34"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On December 20, 2024 (the SVB Loan Effective Date), we entered into a Loan and Security Agreement (SVB Loan Agreement) with Silicon Valley Bank, a division of First-Citizens Bank &amp; Trust Company (SVB), pursuant to which, SVB will extend up to $52.5 million in a term loan facility, of which $32.5 million was fully funded at the SVB Loan Effective Date. A second tranche of $20.0 million may be funded at SVB’s sole discretion on or prior to June 30, 2026. Our obligations under the SVB Loan Agreement, are secured by a first-priority security interest on substantially all of our assets (other than intellectual property), subject to certain exceptions and will be guaranteed by each of our future direct or indirect subsidiaries, subject to certain exceptions. The SVB Loan Agreement contains customary representations and warranties, events of default and affirmative and negative covenants, including covenants that limit or restrict our and our subsidiaries’ ability to, among other things, dispose of assets, make changes to its business, management, ownership or business locations, merge or consolidate, incur additional indebtedness, grant liens on its assets, pay dividends or other distributions, repurchase equity, make investments, and enter into certain transactions with affiliates, in each case subject to certain thresholds and exceptions. The SVB Loan Agreement does not require us to comply with a financial maintenance covenant. Upon the occurrence of an event of default, a default interest rate of an additional 3% may be applied to the outstanding loan balance at the sole discretion of SVB and SVB may declare all outstanding obligations immediately due and payable and exercise all of its rights and remedies as set forth in the SVB Loan Agreement and under applicable law. Any declaration by SVB of an event of default could significantly harm our business and prospects and could cause the price of our common stock to decline. We may not have enough available cash or be able to raise additional funds through equity or debt financings to repay these outstanding obligations at the time any event of default occurs. Further, if we raise any additional capital through debt financing, the terms of such additional debt could further restrict our operating and financial flexibility.</w:t>
      </w:r>
    </w:p>
    <w:p>
      <w:pPr>
        <w:spacing w:after="0" w:line="232"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have recently reduced the size of our organization, and we may encounter difficulties in managing this development and our strategic prioritization, which could disrupt our operations. In addition, we may not achieve the anticipated benefits and savings from the workforce reduction.</w:t>
      </w:r>
    </w:p>
    <w:p>
      <w:pPr>
        <w:spacing w:after="0" w:line="48"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On November 3, 2025, the Company announced a prioritization strategy and pursuant to this strategy, the Company also implemented a workforce reduction of approximately 30%, or 66 roles. The workforce reduction that will accompany our prioritization strategy will result in the loss of longer-term employees, the loss of institutional knowledge and expertise and the reallocation and combination of certain roles and responsibilities across the organization, all of which could adversely affect our operations. The restructuring and possible additional cost containment measures may yield unintended consequences, such as attrition beyond our intended workforce reduction and reduced employee morale. In addition, we may not achieve anticipated benefits from the workforce reduction. Due to our limited resources, we may not be able to effectively manage our operations or recruit and retain qualified personnel, which may result in weaknesses in our infrastructure and operations, further loss of employees and reduced productivity among remaining employees. If our management is unable to effectively manage this transition and workforce reduction and additional cost containment measures, our expenses may be more than expected and we may not be able to implement our business strategy. As a result, our future financial performance and our ability to commercialize our future product candidates successfully could be negatively affected.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4" w:name="page35"/>
    <w:bookmarkEnd w:id="34"/>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the Development of Our Product Candidates</w:t>
      </w:r>
    </w:p>
    <w:p>
      <w:pPr>
        <w:spacing w:after="0" w:line="95"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approach to the discovery and development of product candidates based on our proprietary platform represents a novel approach to cancer treatment, which creates significant challenges for us.</w:t>
      </w:r>
    </w:p>
    <w:p>
      <w:pPr>
        <w:spacing w:after="0" w:line="34"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Our future success depends on the successful development of our product candidates, which target heme malignancies and solid tumors utilizing TCR-T therapy product candidates. Advancing our product candidates creates significant challenges for us, including:</w:t>
      </w:r>
    </w:p>
    <w:p>
      <w:pPr>
        <w:spacing w:after="0" w:line="38" w:lineRule="exact"/>
        <w:rPr>
          <w:sz w:val="20"/>
          <w:szCs w:val="20"/>
          <w:color w:val="auto"/>
        </w:rPr>
      </w:pPr>
    </w:p>
    <w:p>
      <w:pPr>
        <w:ind w:left="1340" w:right="659" w:hanging="352"/>
        <w:spacing w:after="0" w:line="292"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educating medical personnel about the administration of TCR-T therapy product candidates on a stand-alone basis or in combination with built-in immune and tumor modulators;</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68"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educating medical personnel regarding the potential side effect profiles related to our product candidates, such as the potential adverse side effects related to cytokine release syndrome, graft vs host disease (GvHD), neurotoxicity or autoimmune or rheumatologic disorders, which are the most common adverse side effects associated with engineered T cell therapies;</w:t>
      </w:r>
    </w:p>
    <w:p>
      <w:pPr>
        <w:spacing w:after="0" w:line="54"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administering chemotherapy to patients in advance of administering our product candidates, which may increase the risk of adverse side effects;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sourcing clinical and, if licensed, commercial, supplies for the materials used to manufacture and process our product candidates;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TCR-T therapy product candidates efficiently and consistently without the use of viral vectors using our T-Integrate technology;</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 complete shipment lifecycle and supply chain, including efficiently managing the shipment of patient cells from and to clinical sites, minimizing potential contamination to the cell product and effectively scaling manufacturing capacity to meet demand;</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processes suitable for clinical manufacturing and obtaining related CMC regulatory approvals;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costs of inputs and other supplies while scaling production;</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medicines to manage adverse side effects of our product candidates, which may not adequately control the side effects and/or may have a detrimental impact on the potency of our product candidates;</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using medicines to manage adverse side effects of chemotherapy and/or allogeneic stem cell transplantation, used prior to the administration of our product candidates, which may not adequately control the side effects and/or may have a detrimental impact on the potency of our product candidates;</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regulatory approval from the FDA or comparable foreign regulatory authority for our product candidates; and</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sales and marketing capabilities upon obtaining any regulatory approval to gain market acceptance of a novel therapy.</w:t>
      </w:r>
    </w:p>
    <w:p>
      <w:pPr>
        <w:spacing w:after="0" w:line="124" w:lineRule="exact"/>
        <w:rPr>
          <w:sz w:val="20"/>
          <w:szCs w:val="20"/>
          <w:color w:val="auto"/>
        </w:rPr>
      </w:pPr>
    </w:p>
    <w:p>
      <w:pPr>
        <w:jc w:val="both"/>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In developing our product candidates, we have not exhaustively explored different options in the design of the TCR construct and in the methods for manufacturing TCR-T therapies. We may find that our existing TCR-T therapy product candidates and manufacturing process may be substantially improved with future design or process changes, necessitating development of new or additional TCR constructs and further clinical testing, which may delay the commercial launch of our product candidates. For example:</w:t>
      </w:r>
    </w:p>
    <w:p>
      <w:pPr>
        <w:spacing w:after="0" w:line="229" w:lineRule="exact"/>
        <w:rPr>
          <w:sz w:val="20"/>
          <w:szCs w:val="20"/>
          <w:color w:val="auto"/>
        </w:rPr>
      </w:pPr>
    </w:p>
    <w:p>
      <w:pPr>
        <w:jc w:val="both"/>
        <w:ind w:left="1340" w:right="659" w:hanging="352"/>
        <w:spacing w:after="0" w:line="274"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made several TCR constructs and used preclinical studies to select product candidates to advance into clinical trials. The preclinical studies are limited in their ability to predict behavior in patients. As we gain experience working with TCR constructs, we may decide to select other TCR constructs for clinical development.</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process by which patient cells are converted into a TCR-T therapy product candidate has many steps that can influence quality and activity.</w:t>
      </w:r>
    </w:p>
    <w:p>
      <w:pPr>
        <w:spacing w:after="0" w:line="35" w:lineRule="exact"/>
        <w:rPr>
          <w:rFonts w:ascii="Times New Roman" w:cs="Times New Roman" w:eastAsia="Times New Roman" w:hAnsi="Times New Roman"/>
          <w:sz w:val="14"/>
          <w:szCs w:val="14"/>
          <w:color w:val="auto"/>
        </w:rPr>
      </w:pPr>
    </w:p>
    <w:p>
      <w:pPr>
        <w:ind w:left="1340" w:right="759" w:hanging="352"/>
        <w:spacing w:after="0" w:line="275"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efforts to develop an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engineering platform for TCR-T therapies for solid tumors are at a very early stage, and it may take substantial time and investment for us to develop this novel capability, and we may not ultimately be successful in doing so.</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35" w:name="page36"/>
    <w:bookmarkEnd w:id="35"/>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have explored a subset of variables and expect to continue to improve and optimize the manufacturing process. Depending upon the nature of the process changes, we may be compelled to perform bridging studies and/or to re-start clinical development, causing delays in time to market and potentially introducing a risk of failure if new processes do not perform as expected.</w:t>
      </w:r>
    </w:p>
    <w:p>
      <w:pPr>
        <w:spacing w:after="0" w:line="218"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are early in our development efforts.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48"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are early in our development efforts. We have initiated clinical trials for some of our product candidates, and other product candidates are still in preclinical development. Our ability to generate product revenues, which we do not expect will occur for many years, if ever, will depend significantly on the successful development and eventual commercialization of one or more of our product candidates. The success of our product candidates will depend on several factors, including the following:</w:t>
      </w:r>
    </w:p>
    <w:p>
      <w:pPr>
        <w:spacing w:after="0" w:line="54" w:lineRule="exact"/>
        <w:rPr>
          <w:sz w:val="20"/>
          <w:szCs w:val="20"/>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development of a process suitable for clinical manufacturing;</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completion of preclinical studies;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initiation of clinical trials;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patient enrollment in and completion of clinical trials;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and related terms of marketing approvals and licensures from applicable regulatory authorities;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patent and trade secret protection and regulatory exclusivity for our product candidates;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arrangements with third-party manufacturers, or expanding our manufacturing capabilities, for both clinical and commercial supplies of our product candidates;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sales, marketing and distribution capabilities and launching commercial sales of our product candidates, if and when approved, whether alone or in collaboration with others;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of our product candidates, if and when approved, by patients, the medical community and third-party payors;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third-party coverage and adequate reimbursement;</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 continued acceptable safety profile of our product candidates following licensure;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competing with other therapies including other cancer therapies.</w:t>
      </w:r>
    </w:p>
    <w:p>
      <w:pPr>
        <w:spacing w:after="0" w:line="183" w:lineRule="exact"/>
        <w:rPr>
          <w:sz w:val="20"/>
          <w:szCs w:val="20"/>
          <w:color w:val="auto"/>
        </w:rPr>
      </w:pPr>
    </w:p>
    <w:p>
      <w:pPr>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If we do not achieve one or more of these factors in a timely manner or at all, we could experience significant delays or be unable to successfully commercialize our product candidates, which would materially harm our business.</w:t>
      </w:r>
    </w:p>
    <w:p>
      <w:pPr>
        <w:spacing w:after="0" w:line="206"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Although many of our personnel have extensive experience in clinical development and manufacturing at other companies, we have limited direct experience as a company in conducting clinical trials and managing a manufacturing facility for our product candidates.</w:t>
      </w:r>
    </w:p>
    <w:p>
      <w:pPr>
        <w:spacing w:after="0" w:line="48"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Although many of our personnel have extensive experience in clinical development and manufacturing at other companies, we have limited experience as a company in conducting clinical trials at TScan. In part because of this lack of experience, we cannot be certain that our ongoing preclinical studies or clinical trials will be completed on time or that the planned preclinical studies and clinical trials will begin or be completed on time, if at all. Large-scale clinical trials would require significant additional financial and management resources and reliance on third-party clinical investigators, contract research organizations (CROs) and consultants. Relying on third-party clinical investigators, CROs and consultants may force us to encounter delays that are outside of our control.</w:t>
      </w:r>
    </w:p>
    <w:p>
      <w:pPr>
        <w:spacing w:after="0" w:line="14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Although we have expanded our existing cell manufacturing facility, we have limited direct experience as a company in expanding or managing a manufacturing facility. In part because of this lack of experience, we cannot be certain that any further expansion of our existing manufacturing facility will be completed on time, if at all, or if the planned clinical trials will begin or be completed on time, if at all. In part because of our limited experience, we may have unacceptable or inconsistent product quality success rates and yields, and we may be unable to maintain adequate quality control, quality assurance and qualified personnel. In addition, when we switch from manufacturing in our own facility to manufacturing in a different facility (for example, at an external CDMO) for one or more of our product candidates or make changes to our manufacturing process, we may need to conduct additional preclinical studies to bridge our modified product candidates to earlier versions. Failure to successfully further expand our existing manufacturing capabilities could adversely affect our process and clinical development timelines, regulatory approvals, and the commercial viability of our product candidates.</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6" w:name="page37"/>
    <w:bookmarkEnd w:id="36"/>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business is highly dependent on our current product candidates, and we must complete IND-enabling studies and clinical testing before we can seek regulatory approval and begin commercialization of any of our product candidates.</w:t>
      </w:r>
    </w:p>
    <w:p>
      <w:pPr>
        <w:spacing w:after="0" w:line="3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There is no guarantee that any of our product candidates will proceed through preclinical or clinical development or achieve regulatory approval. The process for obtaining marketing approval for any product candidate is very long and risky and there will be significant challenges for us to address in order to obtain marketing approval as planned, if at all.</w:t>
      </w:r>
    </w:p>
    <w:p>
      <w:pPr>
        <w:spacing w:after="0" w:line="136"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There is no guarantee that the results obtained in current and planned preclinical studies or clinical trials of our current or future product candidates will be sufficient to obtain regulatory approval or marketing authorization for such product candidates. Negative results in the development of our lead product candidates may also impact our ability to obtain regulatory approval for our other product candidates, either at all or within anticipated timeframes because, although other product candidates may target different indications, the underlying proprietary platform, manufacturing process and development process is the same for all of our product candidates. Accordingly, a failure in any one of our programs may affect the ability to obtain regulatory approval to continue or conduct clinical programs for other product candidates.</w:t>
      </w:r>
    </w:p>
    <w:p>
      <w:pPr>
        <w:spacing w:after="0" w:line="14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In addition, because we have limited financial and personnel resources and are placing significant focus on the development of our lead product candidates, we may forgo or delay pursuit of opportunities with other future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current or future product candidate, we may relinquish valuable rights to those product candidates through collaborations, licensing or other royalty arrangements in cases in which it would have been more advantageous for us to retain sole development and commercialization rights to such product candidates.</w:t>
      </w:r>
    </w:p>
    <w:p>
      <w:pPr>
        <w:spacing w:after="0" w:line="228"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preclinical studies and clinical trials may fail to demonstrate adequately the safety, potency and purity of any of our product candidates, which would prevent or delay development, regulatory approval and commercialization.</w:t>
      </w:r>
    </w:p>
    <w:p>
      <w:pPr>
        <w:spacing w:after="0" w:line="3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Before obtaining regulatory approvals for the commercial sale of our product candidates, we must demonstrate through lengthy, complex and expensive preclinical studies and clinical trials that our product candidates are both safe and effective for use in each target indication. Preclinical and clinical testing is expensive and can take many years to complete, and its outcome is inherently uncertain. Failure can occur at any time during the preclinical study and clinical trial processes, and, because our product candidates are in an early stage of development, there is a high risk of failure, and we may never succeed in developing marketable products.</w:t>
      </w:r>
    </w:p>
    <w:p>
      <w:pPr>
        <w:spacing w:after="0" w:line="142"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The results of preclinical studies and early clinical trials of our product candidates may not be predictive of the results of later-stage clinical trials. There is typically an extremely high rate of attrition from the failure of product candidates proceeding through preclinical studies and clinical trials. Product candidates in later stages of clinical trials may fail to show the desired safety, potency and purity profile despite having progressed through preclinical studies and initial clinical trials. A number of companies in the biotechnology industry have suffered significant setbacks in advanced clinical trials due to lack of potency or efficacy, insufficient durability of potency or efficacy or unacceptable safety issues, notwithstanding promising results in earlier trials. Most product candidates that commence preclinical studies and clinical trials are never approved as products.</w:t>
      </w:r>
    </w:p>
    <w:p>
      <w:pPr>
        <w:spacing w:after="0" w:line="144"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Any preclinical studies or clinical trials that we may conduct may not demonstrate the safety, potency and purity necessary to obtain regulatory approval to market our product candidates. If the results of our ongoing or future preclinical studies and clinical trials are inconclusive with respect to the safety, potency and purity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potency or purity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w:t>
      </w:r>
    </w:p>
    <w:p>
      <w:pPr>
        <w:spacing w:after="0" w:line="228" w:lineRule="exact"/>
        <w:rPr>
          <w:sz w:val="20"/>
          <w:szCs w:val="20"/>
          <w:color w:val="auto"/>
        </w:rPr>
      </w:pPr>
    </w:p>
    <w:p>
      <w:pPr>
        <w:jc w:val="both"/>
        <w:ind w:left="980" w:right="6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Clinical development involves a lengthy and expensive process with an uncertain outcome,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53"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cannot be certain that our ongoing and future preclinical study and clinical trial results will be sufficient to support regulatory approval of our product candidates. Clinical testing is expensive and can take many years to complete, and its outcome is inherently uncertain. Human clinical trials are expensive and difficult to design and implement, in part because they are subject to rigorous regulatory requirements. Failure or delay can occur at any time during the clinical trial process.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37" w:name="page38"/>
    <w:bookmarkEnd w:id="37"/>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We may experience delays in obtaining the FDA’s clearance to initiate clinical trials under future IND applications, completing ongoing preclinical studies of our other product candidates, and initiating or completing our planned preclinical studies and clinical trials. Additionally, we cannot be certain that preclinical studies or clinical trials for our product candidates will begin on time, not require redesign, enroll an adequate number of subjects on time, or be completed on schedule, if at all. Clinical trials can be delayed or terminated for a variety of reasons, including delays or failures related to:</w:t>
      </w:r>
    </w:p>
    <w:p>
      <w:pPr>
        <w:spacing w:after="0" w:line="56" w:lineRule="exact"/>
        <w:rPr>
          <w:sz w:val="20"/>
          <w:szCs w:val="20"/>
          <w:color w:val="auto"/>
        </w:rPr>
      </w:pPr>
    </w:p>
    <w:p>
      <w:pPr>
        <w:ind w:left="1340" w:hanging="352"/>
        <w:spacing w:after="0"/>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disagreeing as to the design or implementation of our clinical trials;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obtaining regulatory approval to commence a clinical trial;</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institutional review board (IRB) approval at each clinical trial site;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recruiting or retaining an adequate number of suitable patients to participate in a clinical trial;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having subjects complete a clinical trial or return for post-treatment follow-up;</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 sites deviating from the approved clinical trial protocol or dropping out of a clinical trial;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addressing subject safety concerns that arise during the course of a clinical trial;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adding a sufficient number of clinical trial sites; or</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sufficient product supply of product candidate for use in preclinical studies or clinical trials from third-party suppliers.</w:t>
      </w:r>
    </w:p>
    <w:p>
      <w:pPr>
        <w:spacing w:after="0" w:line="124" w:lineRule="exact"/>
        <w:rPr>
          <w:sz w:val="20"/>
          <w:szCs w:val="20"/>
          <w:color w:val="auto"/>
        </w:rPr>
      </w:pPr>
    </w:p>
    <w:p>
      <w:pPr>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We may experience numerous adverse or unforeseen events during, or as a result of, preclinical studies and clinical trials that could delay or prevent our ability to receive marketing approval or commercialize our product candidates, including:</w:t>
      </w:r>
    </w:p>
    <w:p>
      <w:pPr>
        <w:spacing w:after="0" w:line="38" w:lineRule="exact"/>
        <w:rPr>
          <w:sz w:val="20"/>
          <w:szCs w:val="20"/>
          <w:color w:val="auto"/>
        </w:rPr>
      </w:pPr>
    </w:p>
    <w:p>
      <w:pPr>
        <w:ind w:left="1340" w:hanging="352"/>
        <w:spacing w:after="0"/>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receive feedback from regulatory authorities that requires us to modify the design of our clinical trials;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trials of our product candidates may produce negative or inconclusive results, and we may decide, or regulators may require us, to conduct additional clinical trials or abandon our research efforts for our other product candidates;</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patients required for clinical trials of our product candidates may be larger than we anticipate, enrollment in these clinical trials may be slower than we anticipate or participants may drop out of our clinical trials at a higher rate than we anticipate;</w:t>
      </w:r>
    </w:p>
    <w:p>
      <w:pPr>
        <w:spacing w:after="0" w:line="50"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contractors may fail to comply with regulatory requirements, fail to maintain adequate quality controls or be unable to provide us with sufficient product supply to conduct and complete preclinical studies or clinical trials of our product candidates in a timely manner, or at all;</w:t>
      </w:r>
    </w:p>
    <w:p>
      <w:pPr>
        <w:spacing w:after="0" w:line="50"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clinical trials of our product candidates may be greater than we anticipate;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health crises may hinder our development or commercialization activities;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quality of our product candidates or other materials necessary to conduct preclinical studies or clinical trials of our product candidates may be insufficient or inadequate;</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may revise the requirements for approving our product candidates, or such requirements may not be as we anticipate; and</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current or future collaborators may conduct clinical trials in ways they view as advantageous to them but that are suboptimal for us.</w:t>
      </w:r>
    </w:p>
    <w:p>
      <w:pPr>
        <w:spacing w:after="0" w:line="12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For example, we are planning a registrational trial for TSC-101, and based on feedback from regulatory authorities, we may need to modify our clinical trial design or may be delayed in initiating such trial. 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 Accordingly, our clinical trial costs are likely to be significantly higher than those for more conventional therapeutic technologies or drug product candidates.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8" w:name="page39"/>
    <w:bookmarkEnd w:id="38"/>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We could also encounter delays if a clinical trial is suspended or terminated by us, by the IRBs of the institutions in which such clinical trials are being conducted, by the data safety monitoring board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w:t>
      </w:r>
    </w:p>
    <w:p>
      <w:pPr>
        <w:spacing w:after="0" w:line="144"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If we experience delays in the completion, or termination, of any preclinical study or clinical trial of our product candidates, the commercial prospects of our product candidates may be harmed, and our ability to generate revenues from any of these product candidates will be delayed or not realized at all. In addition, any delays in completing our preclinical studies or clinical trials may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226"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business could be adversely affected by the effects of health epidemics in regions where we, our partners or other third parties on which we rely have significant manufacturing facilities, concentrations of potential clinical trial sites or other business operations.</w:t>
      </w:r>
    </w:p>
    <w:p>
      <w:pPr>
        <w:spacing w:after="0" w:line="48"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Public health crises such as pandemics, epidemics, or similar outbreaks could adversely impact our business. For example, our materials suppliers could be disrupted by conditions related to epidemics, possibly resulting in disruption to our supply chain. If our suppliers are unable or fail to fulfill their obligations to us for any reason, we may not be able to manufacture our products and satisfy customer demand or our obligations under sales agreements in a timely manner, and our business could be harmed as a result. Even when such public health crises are largely resolved, the lingering effects of such crises may continue to adversely affect our business operations, and the extent of the impact on our development and regulatory efforts and the future value of and market for our common stock will depend on future developments that are highly uncertain and cannot be predicted with confidence at this time.</w:t>
      </w:r>
    </w:p>
    <w:p>
      <w:pPr>
        <w:spacing w:after="0" w:line="226"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rely on third parties to manufacture our clinical product supplies, and we may rely on third parties to produce and process our product candidates, if licensed.</w:t>
      </w:r>
    </w:p>
    <w:p>
      <w:pPr>
        <w:spacing w:after="0" w:line="3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have established facilities and engaged third-party contract manufacturers to manufacture our current product candidates. We rely on outside vendors to manufacture supplies for our manufacturing process, and we expect to rely on outside vendors to help us manufacture our product candidates for registration-enabling additional clinical trials as well as commercial sales. We have not yet manufactured or processed any product candidates on a commercial scale and may not be able to do so. We plan to optimize the existing manufacturing process to support product commercialization. The process modifications we intend to introduce will require regulatory approval of our product candidates, which could delay the commercialization of the products. We cannot be sure that such changes in the process will result in therapies that are efficacious and viable for commercial sale. In addition, changes in the manufacturing process may result in the need to conduct additional bridging clinical trials to demonstrate product comparability.</w:t>
      </w:r>
    </w:p>
    <w:p>
      <w:pPr>
        <w:spacing w:after="0" w:line="146"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The facilities used by us or any third-party contract manufacturers to manufacture and commercialize our product candidates must be approved by the FDA or other foreign regulatory authorities following inspections that will be conducted after we submit a Biologics License Application (BLA) to the FDA or other foreign regulatory authorities to support commercialization. We may not control the manufacturing process of, and may be completely dependent on, third-party contract manufacturing partners for compliance with cGMPs and any other regulatory requirements of the FDA or other regulatory authorities for the manufacture of our product candidates. We have limited control over the ability of any third-party contract manufacturers we engage to maintain adequate quality control, quality assurance and qualified personnel. Even with oversight, the third party may not be able to meet proper quality standards or its contractual obligations. If the FDA or a comparable foreign regulatory authority does not approve these facilities for the manufacture of our product candidates or if it withdraws any approval in the future, we may need to find alternative manufacturing facilities, which would significantly impact our ability to develop, obtain regulatory approval for or market our product candidates, if licensed.</w:t>
      </w:r>
    </w:p>
    <w:p>
      <w:pPr>
        <w:spacing w:after="0" w:line="318"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and any third-party contract manufacturers we engage to support our clinical trials, may experience manufacturing difficulties due to limited manufacturing experience, resource constraints or as a result of labor disputes, geopolitical and economic tensions with China, including as a result of the escalation of tariffs or other trade restrictions under the Trump administration, or unstable political environments. The pharmaceutical industry in general, and our suppliers or other third parties on which we rely, may depend on China-based suppliers for certain raw materials, products and services, or other activities. If we or our suppliers are unable to depend on these China-based suppliers or service providers, we may not be able to engage a backup or alternative supplier in a timely manner or at all. This, in turn, could materially and adversely affect our or our suppliers’ ability to manufacture or supply products and product candidates which could materially and adversely affect our business. If we or any third-party contract manufacturers we engage were to encounter any of these difficulties, our ability to manufacture sufficient product supply for our preclinical studies and clinical trials, or to provide products for patients once approved, would be jeopardized.</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9" w:name="page40"/>
    <w:bookmarkEnd w:id="39"/>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Many of the materials and regents we expect to use in our processes are single or sole source, and/or have limited stability and as such supply disruptions could materially impact our ability to develop or manufacture products. In addition, certain cell processing equipment, consumables and tubing used in our current manufacturing process are sourced from a single supplier, or are otherwise available from a limited number of suppliers. Any interruption in the supply by those single source suppliers could impact our ability to continue development of any and all of our product candidates on the anticipated timelines or at all. We may be unable to obtain these materials and products for an indeterminate period of time if any of these third parties were to cease or interrupt production or otherwise fail to supply these materials or products to us for any reason, including due to regulatory requirements or actions (including recalls), adverse financial developments at or affecting the supplier, or labor shortages or disputes. Regional or single-source dependencies may in some cases accentuate these risks.</w:t>
      </w:r>
    </w:p>
    <w:p>
      <w:pPr>
        <w:spacing w:after="0" w:line="2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We cannot guarantee that our product candidates will show any functionality in the solid tumor microenvironment.</w:t>
      </w:r>
    </w:p>
    <w:p>
      <w:pPr>
        <w:spacing w:after="0" w:line="101"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 xml:space="preserve">We cannot guarantee that our solid tumor product candidates will show any functionality in the solid tumor microenvironment. The cellular environment in which solid tumor cells thrive is generally hostile to T cells due to factors such as the presence of immunosuppressive cells, humoral factors and limited access to nutrients. Our TCR-T-based product candidates may not be able to access the solid tumor, and even if they do, they may not be able to exert anti-tumor effects in a hostile solid tumor microenvironment. As a result, we have recently decided to focus on developing an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engineering platform for TCR-T product candidates for solid tumors, and our efforts are at a very early stage. Therefore, we do not yet know whether this platform will yield viable product candidates with the potential to demonstrate potency in solid tumors. If we are unable to make our product candidates function in solid tumors, our development plans and business may be significantly harmed.</w:t>
      </w:r>
    </w:p>
    <w:p>
      <w:pPr>
        <w:spacing w:after="0" w:line="228"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Since the number of patients that we plan to dose in our initial clinical trials may be small, the results from such clinical trial, once completed, may be less reliable than results achieved in larger clinical trials, which may hinder our efforts to obtain regulatory approval for our product candidates.</w:t>
      </w:r>
    </w:p>
    <w:p>
      <w:pPr>
        <w:spacing w:after="0" w:line="48"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The preliminary results of clinical trials with smaller sample sizes can be disproportionately influenced by various biases associated with the conduct of small clinical trials, such as the potential failure of the smaller sample size to accurately depict the features of the broader patient population, which limits the ability to generalize the results across a broader community, thus making the clinical trial results less reliable than clinical trials with a larger number of patients. As a result, there may be less certainty that such product candidates would achieve a statistically significant effect in any future clinical trials. If we conduct any future clinical trials, we may not achieve a statistically significant result or the same level of statistical significance, if any, that we might have anticipated based on the results observed in our initial clinical trials. In addition, patients who are undergoing allogeneic HCT are very sick and may pass away from complications of their standard clinical transplantation and treatments thus making it difficult to ascertain the beneficial effects of the added T cell therapy. Further, toxicities of the T cell therapy may be difficult to distinguish from the toxicity of the transplantation itself.</w:t>
      </w:r>
    </w:p>
    <w:p>
      <w:pPr>
        <w:spacing w:after="0" w:line="228" w:lineRule="exact"/>
        <w:rPr>
          <w:sz w:val="20"/>
          <w:szCs w:val="20"/>
          <w:color w:val="auto"/>
        </w:rPr>
      </w:pPr>
    </w:p>
    <w:p>
      <w:pPr>
        <w:ind w:left="980" w:right="659" w:firstLine="32"/>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Allogeneic HCT is a high-risk procedure that may result in complications or adverse events for patients in our clinical trials including those unrelated to the use of our product candidates.</w:t>
      </w:r>
    </w:p>
    <w:p>
      <w:pPr>
        <w:spacing w:after="0" w:line="34"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Stem cell transplantation can cure patients across multiple diseases, but its use carries with it risks of toxicity, serious adverse events and death. Because many therapies are used to prepare or treat patients undergoing allogeneic HCT, patients in our clinical trials or patients that use any of our product candidates may be subject to many of the risks that are currently inherent to this procedure. In particular, stem cell transplant involves certain known potential post-procedure complications that may manifest several weeks or months after a transplant and which may be more common in certain patient populations. For example, autoimmune cytopenia is a known and severe frequent complication of the transplant procedure in certain patients, that can result in death. If these or other serious adverse events, undesirable side effects, or unexpected characteristics are identified during the development of any of our product candidates, we may need to limit, delay or abandon our further clinical development of those product candidates, even if such events, effects or characteristics were the result of stem cell transplant or related procedures generally, and not directly or specifically caused or exacerbated by our product candidates. All serious adverse events or unexpected side effects are continually monitored per the clinical trial’s approved protocol. If serious adverse events are determined to be directly or specifically caused or exacerbated by our hematology product candidates, we would follow the clinical trial protocol’s requirements, which call for our data safety monitoring committee to review all available clinical data in making a recommendation regarding the trial’s continuation.</w:t>
      </w:r>
    </w:p>
    <w:p>
      <w:pPr>
        <w:spacing w:after="0" w:line="229"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file IND applications or IND amendments to commence additional clinical trials on the timelines we expect, and even if we are able to, the FDA may not permit us to proceed on the timelines we expect, or at all.</w:t>
      </w:r>
    </w:p>
    <w:p>
      <w:pPr>
        <w:spacing w:after="0" w:line="3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have initiated clinical trials for some of our product candidates and we expect to submit additional IND applications for our current programs. However, we may not be able to file such IND application on the timelines we expect. For example, we may experience manufacturing delays or other delays with IND-enabling studies. Moreover, we cannot be sure that submission of an IND application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0" w:name="page41"/>
    <w:bookmarkEnd w:id="40"/>
    <w:p>
      <w:pPr>
        <w:jc w:val="both"/>
        <w:ind w:left="640" w:right="659"/>
        <w:spacing w:after="0" w:line="268" w:lineRule="auto"/>
        <w:rPr>
          <w:sz w:val="20"/>
          <w:szCs w:val="20"/>
          <w:color w:val="auto"/>
        </w:rPr>
      </w:pPr>
      <w:r>
        <w:rPr>
          <w:rFonts w:ascii="Times New Roman" w:cs="Times New Roman" w:eastAsia="Times New Roman" w:hAnsi="Times New Roman"/>
          <w:sz w:val="14"/>
          <w:szCs w:val="14"/>
          <w:color w:val="auto"/>
        </w:rPr>
        <w:t>will result in the FDA allowing clinical trials to begin, or that, once begun, issues will not arise that suspend or terminate clinical trials. Additionally, even if such regulatory authorities agree with the design and implementation of the clinical trials set forth in an IND application, we cannot guarantee that such regulatory authorities will not change their requirements in the future. These considerations also apply to new clinical trials we may submit as amendments to existing IND applications.</w:t>
      </w:r>
    </w:p>
    <w:p>
      <w:pPr>
        <w:spacing w:after="0" w:line="140" w:lineRule="exact"/>
        <w:rPr>
          <w:sz w:val="20"/>
          <w:szCs w:val="20"/>
          <w:color w:val="auto"/>
        </w:rPr>
      </w:pPr>
    </w:p>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In addition, we are planning to develop treatments consisting of a combination of TCR-Ts, which we refer to as multiplex TCR-T. Our plan is to assess the safety and preliminary efficacy of multiplex TCR-T early in the clinical development of our product candidates. While our experience with our T-Plex IND shows that the FDA may clear an IND application, which allows us to combine our product candidates with each other in a multiplex TCR-T, we must still provide safety data for each individual product candidate or each variation or combination of a multiplex TCR-T. Any such requirements could result in material delays in the development timelines of our multiplex TCR-T therapy product candidates.</w:t>
      </w:r>
    </w:p>
    <w:p>
      <w:pPr>
        <w:spacing w:after="0" w:line="226"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product candidates may cause undesirable side effects or have other properties that could halt their clinical development, prevent their regulatory approval, require expansion of the trial size, limit their commercial potential, or result in other significant negative consequences.</w:t>
      </w:r>
    </w:p>
    <w:p>
      <w:pPr>
        <w:spacing w:after="0" w:line="48"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Undesirable side effects caused by our product candidates could cause us or regulatory authorities, including IRBs, to interrupt, delay, or halt clinical trials and could result in a more restrictive label or the delay or denial of regulatory approval by the FDA or other comparable foreign regulatory authorities. Further, clinical trials by their nature utilize a sample of the potential patient population. With a limited number of subjects and limited duration of exposure, rare and severe side effects of our product candidates may only be uncovered with a significantly larger number of patients exposed to the drug. Because of the design of the dose escalation of our planned Phase 1 clinical trials, undesirable side effects could also result in an expansion in the size of our clinical trials, increasing the expected costs and timeline of our clinical trials. Additionally, results of our clinical trials could reveal a high and unacceptable severity and prevalence of side effects or unexpected characteristics, which may stem from our therapies specifically or may be due to an illness from which the clinical trial subject is suffering.</w:t>
      </w:r>
    </w:p>
    <w:p>
      <w:pPr>
        <w:spacing w:after="0" w:line="149"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For example, there could be an increased risk of GvHD with our TCR-T therapy product candidates in the post-HCT setting. GvHD is a common toxicity in patients undergoing allogeneic HCT, the focus of our heme malignancies program. GvHD occurs because donor T cells, which are part of the standard stem cell product, misrecognize antigens in the patient as foreign and attack tissues and organs that express those antigens. GvHD may be worsened by our TCR-T therapy product candidates because they are derived from donor T cells. While the engineered T cells express a new TCR that is specific for the intended target antigen and is not expected to cause GvHD, those T cells may have low levels of endogenous TCR that have the potential to misrecognize patient antigens as foreign and worsen GvHD.</w:t>
      </w:r>
    </w:p>
    <w:p>
      <w:pPr>
        <w:spacing w:after="0" w:line="14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 solid tumor patients, autoimmunity may occur after TCR-T treatment. TCR-T therapies are generated from a patient’s own T cells isolated from their peripheral blood. There is a risk that this process will expand a patient’s own T cells that have autoreactivity, or that may recognize healthy cells, and upon re-infusion may trigger an autoimmune reaction resulting in damage to normal tissues and potentially even death.</w:t>
      </w:r>
    </w:p>
    <w:p>
      <w:pPr>
        <w:spacing w:after="0" w:line="140"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Autoimmune reaction triggered by an interaction between a patient’s naturally occurring antibodies and engineered T cells is a theoretical safety risk of product candidates we develop using our proprietary platform. If a patient’s self-generated antibodies were directed to a target expressed on the surface of cells in normal tissue (autoantibodies), engineered T cells would be directed to attack these same tissues, potentially resulting in off-tumor effects. These autoantibodies may be present whether or not the patient has an active autoimmune disorder. In our clinical testing, we plan to take steps to minimize the likelihood that this occurs, for example by excluding patients with a history of a severe autoimmune disorder from our trials. There is no guarantee, however, that we will be able to implement interventions to address the risk of autoimmune reactions if and when they occur.</w:t>
      </w:r>
    </w:p>
    <w:p>
      <w:pPr>
        <w:spacing w:after="0" w:line="144" w:lineRule="exact"/>
        <w:rPr>
          <w:sz w:val="20"/>
          <w:szCs w:val="20"/>
          <w:color w:val="auto"/>
        </w:rPr>
      </w:pPr>
    </w:p>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In addition, immunogenicity, which is the reaction between a patient’s immune system and a foreign protein outside of the autoimmune context, is an additional theoretical safety risk of product candidates we develop using our proprietary platform. Patients’ immune systems may recognize the TCR construct on the TCR-T product as a foreign protein and fight against it, potentially rendering it ineffective, or even provoking an allergic/anaphylactoid response or other adverse side effects. The immunogenic potential of novel therapeutics like TCR-T therapies is difficult to predict. There is no guarantee that we will be able to implement interventions to address the risk of observation of immunogenic reactions if and when they occur.</w:t>
      </w:r>
    </w:p>
    <w:p>
      <w:pPr>
        <w:spacing w:after="0" w:line="144"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If unacceptable toxicities arise in the development of our product candidates, we could suspend or terminate our clinical trials or the FDA or comparable foreign regulatory authorities, or local regulatory authorities such as IRBs, could order us to cease clinical trials. Competent national health authorities, such as the FDA, could also deny approval of our product candidates for any or all targeted indications. Treatment-related side effects could also affect patient recruitment or the ability of enrolled patients to complete the clinical trial or result in potential product liability claims. In addition, these side effects may not be appropriately recognized or managed by the</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1" w:name="page42"/>
    <w:bookmarkEnd w:id="41"/>
    <w:p>
      <w:pPr>
        <w:jc w:val="both"/>
        <w:ind w:left="640" w:right="659"/>
        <w:spacing w:after="0" w:line="265" w:lineRule="auto"/>
        <w:rPr>
          <w:sz w:val="20"/>
          <w:szCs w:val="20"/>
          <w:color w:val="auto"/>
        </w:rPr>
      </w:pPr>
      <w:r>
        <w:rPr>
          <w:rFonts w:ascii="Times New Roman" w:cs="Times New Roman" w:eastAsia="Times New Roman" w:hAnsi="Times New Roman"/>
          <w:sz w:val="14"/>
          <w:szCs w:val="14"/>
          <w:color w:val="auto"/>
        </w:rPr>
        <w:t>treating medical staff, as toxicities resulting from T cell therapy are not normally encountered in the general patient population and by medical personnel. We expect to have to train medical personnel using our product candidates to understand the side effect profile of our product candidates for both our planned clinical trials and upon any commercialization of any product candidates, if licensed. Inadequate training in recognizing or managing the potential side effects of our product candidates could result in patient deaths. Any of these occurrences may significantly harm our reputation as well as business, financial condition and prospects.</w:t>
      </w:r>
    </w:p>
    <w:p>
      <w:pPr>
        <w:spacing w:after="0" w:line="2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Our product candidates may target healthy cells expressing target antigens leading to potentially fatal adverse effects.</w:t>
      </w:r>
    </w:p>
    <w:p>
      <w:pPr>
        <w:spacing w:after="0" w:line="101"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Our product candidates target specific antigens that are also potentially expressed on healthy cells. Our product candidates may target healthy cells, leading to serious and potentially fatal adverse effects. In our planned clinical trials of our product candidates, we plan to use a dose escalation model to closely monitor the effect of our product candidates on vital organs and other potential side effects. Even though we intend to closely monitor the side effects of our product candidates in both preclinical studies and clinical trials, we cannot guarantee that products will not target and kill healthy cells.</w:t>
      </w:r>
    </w:p>
    <w:p>
      <w:pPr>
        <w:spacing w:after="0" w:line="224"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product candidates may have serious and potentially fatal cross-reactivity to other peptides or protein sequences within the body.</w:t>
      </w:r>
    </w:p>
    <w:p>
      <w:pPr>
        <w:spacing w:after="0" w:line="34"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Our product candidates may recognize and bind to a peptide unrelated to the target antigen to which it is designed to bind. If this peptide is expressed within normal tissues, our product candidates may target and kill the normal tissue in a patient, leading to serious and potentially fatal adverse effects. Detection of any cross-reactivity may halt or delay any ongoing clinical trials for any of our TCR-T therapy product candidates and prevent or delay regulatory approval. Unknown cross-reactivity of the TCR-T binding domain to related proteins could also occur. We have also developed a preclinical screening process to identify cross-reactivity of T cell binders. Any cross-reactivity that impacts patient safety could materially impact our ability to advance our product candidates into clinical trials or to proceed to marketing approval and commercialization.</w:t>
      </w:r>
    </w:p>
    <w:p>
      <w:pPr>
        <w:spacing w:after="0" w:line="226"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vectors used to manufacture our TCR-T therapy product candidates may incorrectly modify the genetic material of a patient’s T cells, potentially triggering the development of a new cancer or other adverse events.</w:t>
      </w:r>
    </w:p>
    <w:p>
      <w:pPr>
        <w:spacing w:after="0" w:line="3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Our TCR-T therapy product candidates are manufactured by using a vector to insert genetic information encoding the TCR construct into the patient’s T cells. The TCR construct is then integrated into the natural TCR complex and transported to the surface of the patient’s T cells. Because the vector modifies the genetic information of the T cell, there is a risk that modification will occur in the wrong place in the T cell’s genetic code, leading to vector-related insertional oncogenesis, and causing the T cell to become cancerous. If the cancerous T cell is then administered to the patient with the TCR-T therapy product candidates, the cancerous T cell could trigger the development of a new cancer in the patient. We use non-viral transposon/transposase to insert genetic information into T cells. The risk of insertional oncogenesis remains a concern for gene therapy and we cannot guarantee that it will not occur in any of our ongoing or planned preclinical studies or clinical trials. There is also the potential risk of delayed adverse events following exposure to gene therapy products due to persistent biological activity of the genetic material or other components of vectors used to carry the genetic material. The FDA has stated that vectors possess characteristics that may pose high risks of delayed adverse events. Non-viral transposon/transposase systems have limited clinical history, and their safety profile is still to be determined. If any such adverse events occur, further advancement of our preclinical studies or clinical trials could be halted or delayed, which would have a material adverse effect on our business and operations.</w:t>
      </w:r>
    </w:p>
    <w:p>
      <w:pPr>
        <w:spacing w:after="0" w:line="229"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encounter difficulties enrolling patients in our clinical trials, our clinical development activities could be delayed or otherwise adversely affected.</w:t>
      </w:r>
    </w:p>
    <w:p>
      <w:pPr>
        <w:spacing w:after="0" w:line="3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may experience difficulties in patient enrollment in our clinical trials for a variety of reasons. The timely completion of clinical trials in accordance with their approved protocols depends on, among other things, our ability to enroll a sufficient number of patients who remain in the clinical trial until its conclusion. The enrollment of patients depends on many factors, including:</w:t>
      </w:r>
    </w:p>
    <w:p>
      <w:pPr>
        <w:spacing w:after="0" w:line="50" w:lineRule="exact"/>
        <w:rPr>
          <w:sz w:val="20"/>
          <w:szCs w:val="20"/>
          <w:color w:val="auto"/>
        </w:rPr>
      </w:pPr>
    </w:p>
    <w:p>
      <w:pPr>
        <w:ind w:left="1340" w:hanging="352"/>
        <w:spacing w:after="0"/>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patient eligibility criteria defined in the clinical trial protocol, particularly those who meet the requisite genetic criteria;</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heme malignancies program, the ability to find a donor who must be mismatched with the patient either for the HLA type or the antigen type to ensure that the engineered T cell therapy does not recognize donor-derived blood cells;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impact of public health crises on clinical trial initiation and enrollment;</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patient population required for analysis of the clinical trial’s primary endpoints;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proximity of patients to clinical trial sites;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 of the clinical trial;</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2" w:name="page43"/>
    <w:bookmarkEnd w:id="42"/>
    <w:p>
      <w:pPr>
        <w:ind w:left="1340" w:hanging="352"/>
        <w:spacing w:after="0"/>
        <w:tabs>
          <w:tab w:leader="none" w:pos="1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recruit clinical trial investigators with the appropriate competencies and experience;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patient consents;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reporting of the preliminary results of any of our clinical trials;</w:t>
      </w:r>
    </w:p>
    <w:p>
      <w:pPr>
        <w:spacing w:after="0" w:line="96" w:lineRule="exact"/>
        <w:rPr>
          <w:rFonts w:ascii="Times New Roman" w:cs="Times New Roman" w:eastAsia="Times New Roman" w:hAnsi="Times New Roman"/>
          <w:sz w:val="14"/>
          <w:szCs w:val="14"/>
          <w:color w:val="auto"/>
        </w:rPr>
      </w:pPr>
    </w:p>
    <w:p>
      <w:pPr>
        <w:jc w:val="both"/>
        <w:ind w:left="1340" w:right="659" w:hanging="352"/>
        <w:spacing w:after="0" w:line="285" w:lineRule="auto"/>
        <w:tabs>
          <w:tab w:leader="none" w:pos="1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that patients enrolled in clinical trials will drop out of the clinical trial or pass away from disease-related complications or complications from their standard clinical therapy before they can experience benefits of the engineered T cell therapy;</w:t>
      </w:r>
    </w:p>
    <w:p>
      <w:pPr>
        <w:spacing w:after="0" w:line="219"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obtain sufficient T cells from the patient or allogeneic donor in order for the engineered T cell product to be manufactured; and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produce sufficient TCR-T product to meet the dosing requirements of the clinical studies.</w:t>
      </w:r>
    </w:p>
    <w:p>
      <w:pPr>
        <w:spacing w:after="0" w:line="183"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HCT, rather than enroll patients in any future clinical trial. Additionally, because some of our clinical trials are expected to be in patients with relapsed/refractory cancer, the patients are typically in the late stages of their disease and may experience disease progression independent from our product candidates, making them unevaluable for purposes of the clinical trial and requiring additional patient enrollment.</w:t>
      </w:r>
    </w:p>
    <w:p>
      <w:pPr>
        <w:spacing w:after="0" w:line="318"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Delays in completing patient enrollment may result in increased costs or may affect the timing or outcome of our ongoing and planned clinical trials, which could prevent completion or commencement of these clinical trials and adversely affect our ability to advance the development of our product candidates.</w:t>
      </w:r>
    </w:p>
    <w:p>
      <w:pPr>
        <w:spacing w:after="0" w:line="218" w:lineRule="exact"/>
        <w:rPr>
          <w:sz w:val="20"/>
          <w:szCs w:val="20"/>
          <w:color w:val="auto"/>
        </w:rPr>
      </w:pPr>
    </w:p>
    <w:p>
      <w:pPr>
        <w:jc w:val="both"/>
        <w:ind w:left="980" w:right="65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Research and development of biotechnology products is inherently risky. We may not be successful in our efforts to use and enhance our target discovery platform and TCR technologies to create a pipeline of product candidates and develop commercially successful products, or we may expend our limited resources on programs that do not yield a successful product candidate and fail to capitalize on product candidates or diseases that may be more profitable or for which there is a greater likelihood of success. If we fail to develop additional product candidates, our commercial opportunity will be limited.</w:t>
      </w:r>
    </w:p>
    <w:p>
      <w:pPr>
        <w:spacing w:after="0" w:line="57"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are at an early stage of development and our target discovery platform has not yet led, and may never lead, to approved or commercially successful products. All of our current product candidates are being developed by leveraging the same or similar underlying proprietary platform, manufacturing process and development program. As a result, an issue with one product candidate or failure of any one program to obtain regulatory approval could lead to a failure of our entire pipeline of product candidates.</w:t>
      </w:r>
    </w:p>
    <w:p>
      <w:pPr>
        <w:spacing w:after="0" w:line="140"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Even if we are successful in continuing to build our pipeline, obtaining regulatory approvals and commercializing additional product candidates may require substantial additional funding and are prone to the risks of failure inherent in biotechnology product development.</w:t>
      </w:r>
    </w:p>
    <w:p>
      <w:pPr>
        <w:spacing w:after="0" w:line="136"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Investment in biotechnology product development involves significant risk that any potential product candidate will fail to demonstrate adequate efficacy or an acceptable safety profile, gain regulatory approval, and become commercially viable. We cannot provide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56" w:lineRule="exact"/>
        <w:rPr>
          <w:sz w:val="20"/>
          <w:szCs w:val="20"/>
          <w:color w:val="auto"/>
        </w:rPr>
      </w:pPr>
    </w:p>
    <w:p>
      <w:pPr>
        <w:ind w:left="1340" w:right="659" w:hanging="352"/>
        <w:spacing w:after="0" w:line="266"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research methodology, including our screening technology, may not successfully identify additional product candidates;</w:t>
      </w:r>
    </w:p>
    <w:p>
      <w:pPr>
        <w:spacing w:after="0" w:line="251"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pursuit of difficult-to-drug targets may make it challenging to design potential product candidates;</w:t>
      </w:r>
    </w:p>
    <w:p>
      <w:pPr>
        <w:spacing w:after="0" w:line="96"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clinical trials conducted by others on similar indications or on compounds with similar mechanisms of action could result in our having to conduct additional or cost prohibitive clinical trials, which could delay development and possibly make commercialization prohibitively expensive;</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3" w:name="page44"/>
    <w:bookmarkEnd w:id="43"/>
    <w:p>
      <w:pPr>
        <w:ind w:left="1340" w:right="659" w:hanging="352"/>
        <w:spacing w:after="0" w:line="292" w:lineRule="auto"/>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encounter product manufacturing difficulties that limit yield, produce undesirable characteristics, that increase the cost of goods, cause delays, or make the product candidates unmarketable;</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 candidates may cause adverse effects in patients or subjects, even after successful initial toxicology studies, which may make the product candidates unmarketable;</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 candidates may not demonstrate a meaningful benefit to patients or subjects; and</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collaboration partners may change their development profiles or plans for potential product candidates or abandon a therapeutic area or the development of a partnered product.</w:t>
      </w:r>
    </w:p>
    <w:p>
      <w:pPr>
        <w:spacing w:after="0" w:line="12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If any of these events occur, we may be forced to abandon our development efforts for a program or programs, which would have a material adverse effect on our business, operating results and prospects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40"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If we are unable to identify suitable compounds for preclinical and clinical development, we will not be able to obtain revenues from the sale of drugs in future periods, which likely would result in significant harm to our business prospects and financial position.</w:t>
      </w:r>
    </w:p>
    <w:p>
      <w:pPr>
        <w:spacing w:after="0" w:line="206"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market opportunities for our product candidates may be relatively small. In addition, our estimates of the prevalence of our target patient populations may be inaccurate.</w:t>
      </w:r>
    </w:p>
    <w:p>
      <w:pPr>
        <w:spacing w:after="0" w:line="34"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Cancer therapies are sometimes characterized as first line, second line, or third line, and the FDA often approves new therapies initially only for a particular line of use. When cancer is detected early enough, first-line therapy is sometimes adequate to cure the cancer or prolong life without a cure. Whenever first-line therapy, usually chemotherapy, antibody drugs, tumor-targeted small molecules, hormone therapy, radiation therapy, surgery, or a combination of these, proves unsuccessful (refractory disease) or the cancer returns after a disease-free interval (relapsed disease), subsequent lines of therapy may be required to manage the disease and/or disease-related side-effects. We expect to initially seek approval for use of our TCR-T therapy product candidates to treat patients with heme malignancies, including acute myeloid leukemia (AML) and myelodysplastic syndromes (MDS) who are undergoing allogeneic HCT. While HCT provides a potentially curable option for patients with intermediate and high-risk disease, disease relapse remains the main cause of treatment failure and constitutes a significant unmet medical need. For our solid tumor product candidates, we expect to initially seek approval in patients with a history of relapsed disease or refractory disease. For those product candidates that prove to be sufficiently safe and beneficial, if any, we would expect to seek approval in earlier lines of therapy, as appropriate, but there is no guarantee that our product candidates would be licensed for an earlier line of therapy, and, prior to any such approvals, we may have to conduct additional clinical trials. Consequently, the potentially addressable patient population for our product candidates may be extremely limited or may not be amenable to treatment with our product candidates.</w:t>
      </w:r>
    </w:p>
    <w:p>
      <w:pPr>
        <w:spacing w:after="0" w:line="155"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Our projections of both the number of people who have the cancers we are targeting, as well as the subset of people with these cancers in a position to receive a particular line or type of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the number of patients that may be eligible for treatment with our product candidates may turn out to be much lower than expected.</w:t>
      </w:r>
    </w:p>
    <w:p>
      <w:pPr>
        <w:spacing w:after="0" w:line="200" w:lineRule="exact"/>
        <w:rPr>
          <w:sz w:val="20"/>
          <w:szCs w:val="20"/>
          <w:color w:val="auto"/>
        </w:rPr>
      </w:pPr>
    </w:p>
    <w:p>
      <w:pPr>
        <w:spacing w:after="0" w:line="202" w:lineRule="exact"/>
        <w:rPr>
          <w:sz w:val="20"/>
          <w:szCs w:val="20"/>
          <w:color w:val="auto"/>
        </w:rPr>
      </w:pPr>
    </w:p>
    <w:p>
      <w:pPr>
        <w:jc w:val="both"/>
        <w:ind w:left="980" w:right="639"/>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product candidates rely on the use of protein binding domains, or binders, to target specific cancers, which we may develop, or which may be developed by third parties. We are limited in our ability to apply our product candidates to a wider range of potential target cancers by our ability to develop, partner for or acquire these binders on commercially reasonable terms.</w:t>
      </w:r>
    </w:p>
    <w:p>
      <w:pPr>
        <w:spacing w:after="0" w:line="226"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TCR-T therapies require the use of antigen-specific protein binding domains (binders) which guide the TCR-Ts and bind to the antigens on the surface of a tumor to target specific types of cancers. Our ability to develop and commercialize our product candidates will depend on our ability to develop these binders or partner for such binders on commercially reasonable terms for use in clinical trials as well as the availability of such binders for use in commercialized products, if licensed. We cannot ensure that we will have a steady supply of binders that we can utilize in combination with the TCR construct to develop our product candidates. If we are unable to enter into such collaborations on commercially reasonable terms or fail to realize the benefits of any such collaboration, we may be limited to using antibody fragments that we are able to independently develop which may limit the ability of our product candidates to target and kill cancer cells.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4" w:name="page45"/>
    <w:bookmarkEnd w:id="44"/>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failure to enter into a successful collaboration or to develop our own binders may delay our development timelines, increase our costs and jeopardize our ability to develop future product candidates as a commercially viable drug, which could result in delays in product development and harm our business.</w:t>
      </w:r>
    </w:p>
    <w:p>
      <w:pPr>
        <w:spacing w:after="0" w:line="218" w:lineRule="exact"/>
        <w:rPr>
          <w:sz w:val="20"/>
          <w:szCs w:val="20"/>
          <w:color w:val="auto"/>
        </w:rPr>
      </w:pPr>
    </w:p>
    <w:p>
      <w:pPr>
        <w:jc w:val="both"/>
        <w:ind w:left="980" w:right="6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currently have no marketing and sales organization and have no experience as a company in marketing products. If we are unable to establish marketing and sales capabilities or to enter into agreements with third parties to market and sell our product candidates, if licensed, we may not be able to generate product revenue.</w:t>
      </w:r>
    </w:p>
    <w:p>
      <w:pPr>
        <w:spacing w:after="0" w:line="48"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currently have no sales, marketing or distribution capabilities and have no experience as a company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40"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If we are unable or decide not to establish internal sales, marketing and distribution capabilities, we will pursue collaborative arrangements regarding the sales and marketing of our product candidates, if licensed.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may also face competition in our search for third parties to assist us with the sales and marketing efforts of our product candidates.</w:t>
      </w:r>
    </w:p>
    <w:p>
      <w:pPr>
        <w:spacing w:after="0" w:line="144"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There can be no assurance that we will be able to develop in-house sales and distribution capabilities or establish or maintain relationships with third-party collaborators to commercialize any product in the U.S. or overseas.</w:t>
      </w:r>
    </w:p>
    <w:p>
      <w:pPr>
        <w:spacing w:after="0" w:line="206"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3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use of engineered T cells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50" w:lineRule="exact"/>
        <w:rPr>
          <w:sz w:val="20"/>
          <w:szCs w:val="20"/>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indications for which our product candidates are licensed;</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physicians, hospitals, cancer treatment centers and patients considering our product candidates as a safe and effective treatment;</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and perceived advantages of our product candidates over alternative treatments;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demonstrate the advantages of our product candidates over other TCR-T therapies;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w:t>
      </w:r>
    </w:p>
    <w:p>
      <w:pPr>
        <w:spacing w:after="0" w:line="96" w:lineRule="exact"/>
        <w:rPr>
          <w:rFonts w:ascii="Times New Roman" w:cs="Times New Roman" w:eastAsia="Times New Roman" w:hAnsi="Times New Roman"/>
          <w:sz w:val="14"/>
          <w:szCs w:val="14"/>
          <w:color w:val="auto"/>
        </w:rPr>
      </w:pPr>
    </w:p>
    <w:p>
      <w:pPr>
        <w:ind w:left="1340" w:right="639" w:hanging="352"/>
        <w:spacing w:after="0" w:line="292" w:lineRule="auto"/>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 for other adoptive cell therapies, TCR-T therapies and public perception of other adoptive cell therapies and TCR-T therapies;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labeling or product insert requirements of the FDA or other regulatory authorities;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or warnings contained in the labeling approved by the FDA;</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market introduction of our product candidates as well as competitive products;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treatment in relation to alternative treatments;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adequate coverage, reimbursement and pricing by third-party payors and government authorities;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willingness of patients to pay out-of-pocket in the absence of coverage by third-party payors and government authorities;</w:t>
      </w:r>
    </w:p>
    <w:p>
      <w:pPr>
        <w:spacing w:after="0" w:line="96" w:lineRule="exact"/>
        <w:rPr>
          <w:rFonts w:ascii="Times New Roman" w:cs="Times New Roman" w:eastAsia="Times New Roman" w:hAnsi="Times New Roman"/>
          <w:sz w:val="14"/>
          <w:szCs w:val="14"/>
          <w:color w:val="auto"/>
        </w:rPr>
      </w:pPr>
    </w:p>
    <w:p>
      <w:pPr>
        <w:ind w:left="1340" w:right="639" w:hanging="352"/>
        <w:spacing w:after="0" w:line="292" w:lineRule="auto"/>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relative convenience and ease of administration, including as compared to alternative treatments and competitive therapies; and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sales and marketing efforts.</w:t>
      </w:r>
    </w:p>
    <w:p>
      <w:pPr>
        <w:spacing w:after="0" w:line="183"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In addition, although we are not utilizing embryonic stem cells or replication competent vectors, adverse publicity due to the ethical and social controversies surrounding the therapeutic use of such technologies, and reported side effects from any clinical trials using these technologies or the failure of such clinical trials to demonstrate that these therapies are safe and effective may limit market</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5" w:name="page46"/>
    <w:bookmarkEnd w:id="45"/>
    <w:p>
      <w:pPr>
        <w:jc w:val="both"/>
        <w:ind w:left="640" w:right="659"/>
        <w:spacing w:after="0" w:line="292" w:lineRule="auto"/>
        <w:rPr>
          <w:sz w:val="20"/>
          <w:szCs w:val="20"/>
          <w:color w:val="auto"/>
        </w:rPr>
      </w:pPr>
      <w:r>
        <w:rPr>
          <w:rFonts w:ascii="Times New Roman" w:cs="Times New Roman" w:eastAsia="Times New Roman" w:hAnsi="Times New Roman"/>
          <w:sz w:val="14"/>
          <w:szCs w:val="14"/>
          <w:color w:val="auto"/>
        </w:rPr>
        <w:t>acceptance of our product candidates. If our product candidates are licensed but fail to achieve market acceptance among physicians, patients, hospitals, cancer treatment centers or others in the medical community, we will not be able to generate significant revenue.</w:t>
      </w:r>
    </w:p>
    <w:p>
      <w:pPr>
        <w:spacing w:after="0" w:line="12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In addition, although our product candidates differ in certain ways from other TCR-T therapy approaches, serious adverse events or deaths in other clinical trials involving engineered TCR, or other T cell products or with our use of licensed TCR-T therapy candidates, even if not ultimately attributable to our product candidates, could negatively impact our business.</w:t>
      </w:r>
    </w:p>
    <w:p>
      <w:pPr>
        <w:spacing w:after="0" w:line="136"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Even if our product candidates achieve market acceptance, we may not be able to maintain that market acceptance over time if new products or technologies are introduced that are more favorably received than our product candidates, are more cost effective or render our product candidates obsolete.</w:t>
      </w:r>
    </w:p>
    <w:p>
      <w:pPr>
        <w:spacing w:after="0" w:line="218"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 variety of risks associated with marketing our product candidates internationally could materially adversely affect our business.</w:t>
      </w:r>
    </w:p>
    <w:p>
      <w:pPr>
        <w:spacing w:after="0" w:line="34" w:lineRule="exact"/>
        <w:rPr>
          <w:sz w:val="20"/>
          <w:szCs w:val="20"/>
          <w:color w:val="auto"/>
        </w:rPr>
      </w:pPr>
    </w:p>
    <w:p>
      <w:pPr>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We plan to seek regulatory approval of our product candidates outside of the U.S. and, accordingly, we expect that we will be subject to additional risks related to operating in foreign countries if we obtain the necessary approvals, including:</w:t>
      </w:r>
    </w:p>
    <w:p>
      <w:pPr>
        <w:spacing w:after="0" w:line="38" w:lineRule="exact"/>
        <w:rPr>
          <w:sz w:val="20"/>
          <w:szCs w:val="20"/>
          <w:color w:val="auto"/>
        </w:rPr>
      </w:pPr>
    </w:p>
    <w:p>
      <w:pPr>
        <w:ind w:left="1340" w:hanging="352"/>
        <w:spacing w:after="0"/>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regulatory requirements in foreign countries;</w:t>
      </w:r>
    </w:p>
    <w:p>
      <w:pPr>
        <w:spacing w:after="0" w:line="96"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changes in tariffs (including tariffs that have been or may in the future be imposed by the U.S. or other countries), trade barriers (including further legislation or actions taken by the U.S. or other countries that restrict trade), price and exchange controls and other regulatory requirements;</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weakness, including inflation, or political instability in particular foreign economies and markets;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tax, employment, immigration and labor laws for employees living or traveling abroad;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taxes, including withholding of payroll taxes;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fluctuations, which could result in increased operating expenses and reduced revenue, and other obligations incident to doing business in another country;</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staffing and managing foreign operations;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workforce uncertainty in countries where labor unrest is more common than in the U.S.;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liability under the Foreign Corrupt Practices Act of 1977 or comparable foreign regulations;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enforcing our contractual and intellectual property rights, especially in those foreign countries that do not respect and protect intellectual property rights to the same extent as the U.S.;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shortages resulting from any events affecting raw material supply or manufacturing capabilities abroad;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resulting from geo-political actions, including war and terrorism.</w:t>
      </w:r>
    </w:p>
    <w:p>
      <w:pPr>
        <w:spacing w:after="0" w:line="183"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These and other risks associated with international operations may materially adversely affect our ability to attain or maintain profitable operations.</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We face significant competition, and our operating results will suffer if we fail to compete effectively.</w:t>
      </w:r>
    </w:p>
    <w:p>
      <w:pPr>
        <w:spacing w:after="0" w:line="101"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The biotechnology industry is characterized by intense competition and rapid innovation. Our competitors may be able to develop other products or drugs that are able to achieve similar or better results. Our potential competitors include larger biotechnology and pharmaceutical companies with greater resources than us, academic institutions, governmental agencies, public and private research institutions and early stage or smaller companies. Many of our competitors have substantially greater financial, technical and other resources, such as larger research and development staff, experienced marketing and manufacturing organizations and well-established sales forces. Further, our competitors may have more financial resources, greater access to capital and diversified product offerings and revenue sources, which may give our competitors an advantage over us. In addition, many of these competitors are active in seeking patent protection and licensing arrangements in anticipation of collecting royalties for use of technology that they have developed.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safety, potency, purity, tolerability, reliability, convenience of use, price and reimbursement.</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6" w:name="page47"/>
    <w:bookmarkEnd w:id="46"/>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Specifically, by genetically engineering T cell therapies, we face significant competition in the T cell immunotherapy space from many companies. For additional information regarding our competition, see “Item 1. Business – Competition” in our Annual Report on Form 10-K filed with the SEC on March 4, 2026. 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Moreover, the development and manufacturing costs associated with engineered T cell therapies may make it difficult to compete with alternative products that may be simpler and cheaper to develop and manufacture.</w:t>
      </w:r>
    </w:p>
    <w:p>
      <w:pPr>
        <w:spacing w:after="0" w:line="231"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internal computer systems, or those used by our third-party CROs, our clinical sites, or other contractors or consultants, may fail or suffer cybersecurity incidents, data breaches or other unauthorized or improper access, which could result in a material disruption of the development programs of our product candidates.</w:t>
      </w:r>
    </w:p>
    <w:p>
      <w:pPr>
        <w:spacing w:after="0" w:line="48" w:lineRule="exact"/>
        <w:rPr>
          <w:sz w:val="20"/>
          <w:szCs w:val="20"/>
          <w:color w:val="auto"/>
        </w:rPr>
      </w:pPr>
    </w:p>
    <w:p>
      <w:pPr>
        <w:jc w:val="both"/>
        <w:ind w:left="640" w:right="659" w:firstLine="351"/>
        <w:spacing w:after="0" w:line="257" w:lineRule="auto"/>
        <w:rPr>
          <w:sz w:val="20"/>
          <w:szCs w:val="20"/>
          <w:color w:val="auto"/>
        </w:rPr>
      </w:pPr>
      <w:r>
        <w:rPr>
          <w:rFonts w:ascii="Times New Roman" w:cs="Times New Roman" w:eastAsia="Times New Roman" w:hAnsi="Times New Roman"/>
          <w:sz w:val="14"/>
          <w:szCs w:val="14"/>
          <w:color w:val="auto"/>
        </w:rPr>
        <w:t>Despite the implementation of security measures, our internal computer systems and those of our current and future CROs, our clinical sites, and other contractors and consultants are vulnerable, and like companies in our industry, we have experienced a variety of disruptions and data privacy and information security threats and incidents. These cyberattacks may include cybersecurity incidents, data breaches, attacks by hackers and other malicious third parties (including the deployment of computer viruses, malware, ransomware, denial-of-service attacks, social engineering fraud (including phishing attacks), and other events that affect service reliability and threaten the confidentiality, integrity, and availability of information), unauthorized access, natural disasters, fires, terrorism, war, telecommunications or electrical interruptions or failures, employee error or malfeasance or other malicious or inadvertent disruptions, including inadvertent or intentional wrongful actions by insider employees and vendors. For example, the ongoing conflict between Russia and Ukraine has led to an increase in cyberattacks on Ukraine, including its government, companies, institutions and people, as well on the financial and communications infrastructure of other countries, companies and individuals therein. Additionally, the increased usage of computers operated on home networks may make our or our partners’ systems more susceptible to cybersecurity incidents or data breaches. If any such material system failure, cybersecurity incident, or data breach, were to occur and cause interruptions in our operations, it could result in a material disruption of our development programs and our business operations. For example, the loss of data from ongoing or completed or future preclinical studies and clinical trials could result in delays in our regulatory approval efforts and significantly increase our costs to recover or reproduce the data. Likewise, similar events relating to the computer systems of our third party vendors or manufacturers could also have a material adverse effect on our business, financial condition, results of operations and prospects. Bad actors around the world use increasingly sophisticated methods, including the use of artificial intelligence, to engage in illegal activities involving the theft and misuse of personal information, confidential information and intellectual property. In addition, the potential or current use of artificial intelligence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spacing w:after="0" w:line="159"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Unauthorized disclosure of sensitive or confidential data, including personally identifiable information, whether through a cybersecurity incident, data breach,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w:t>
      </w:r>
    </w:p>
    <w:p>
      <w:pPr>
        <w:spacing w:after="0" w:line="142"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As we become more dependent on information technologies to conduct our operations, cybersecurity incidents, including deliberate attacks and attempts to gain unauthorized access to computer systems and networks, may increase in frequency and sophistication. These threats pose a risk to the security of our systems and networks and to the confidentiality, availability and integrity of our data, and these risks apply both to us and to third parties on whose systems we rely for the conduct of our business. Because the techniques used to obtain unauthorized access, disable or degrade service or sabotage systems change frequently and often are not recognized until launched against a target, we and our partners or collaborators may be unable to anticipate these techniques or to implement adequate preventative measures. Further, we do not have any control over the operations of the facilities or technology of our cloud and service providers, including any third-party vendors that collect, process and store personal data on our behalf. Our systems, servers and platforms and those of our service providers may be vulnerable to cybersecurity incidents or data breaches,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We may need to expend significant resources and make significant capital investments to protect against cybersecurity incidents or data breaches or to mitigate the impact of any such cybersecurity incidents or data breaches. There can be no assurance that we or our third-party providers will be successful in preventing cyber-attacks or successfully mitigating their effects. To the extent that any disruption or cybersecurity incident or data breach were to result in a loss of, or damage to, our data</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7" w:name="page48"/>
    <w:bookmarkEnd w:id="47"/>
    <w:p>
      <w:pPr>
        <w:ind w:left="640" w:right="659"/>
        <w:spacing w:after="0" w:line="292" w:lineRule="auto"/>
        <w:rPr>
          <w:sz w:val="20"/>
          <w:szCs w:val="20"/>
          <w:color w:val="auto"/>
        </w:rPr>
      </w:pPr>
      <w:r>
        <w:rPr>
          <w:rFonts w:ascii="Times New Roman" w:cs="Times New Roman" w:eastAsia="Times New Roman" w:hAnsi="Times New Roman"/>
          <w:sz w:val="14"/>
          <w:szCs w:val="14"/>
          <w:color w:val="auto"/>
        </w:rPr>
        <w:t>or applications, or inappropriate disclosure of confidential or proprietary information, we could incur liability and the further development and commercialization of our product candidates could be delayed.</w:t>
      </w:r>
    </w:p>
    <w:p>
      <w:pPr>
        <w:spacing w:after="0" w:line="206" w:lineRule="exact"/>
        <w:rPr>
          <w:sz w:val="20"/>
          <w:szCs w:val="20"/>
          <w:color w:val="auto"/>
        </w:rPr>
      </w:pPr>
    </w:p>
    <w:p>
      <w:pPr>
        <w:jc w:val="both"/>
        <w:ind w:left="980" w:right="6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Cybersecurity incidents, loss of data or modification of information, and other disruptions could compromise information related to our business or prevent us from accessing critical information, result in a significant disruption of our activities and expose us to liability, which could adversely affect our business and our reputation.</w:t>
      </w:r>
    </w:p>
    <w:p>
      <w:pPr>
        <w:spacing w:after="0" w:line="48"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In the ordinary course of our business, we collect and store information, including personal information, intellectual property and proprietary business information that we own or control or have an obligation to protect. For example, we collect and store research and development information, employee data, commercial information, customer information and business and financial information. We and our service providers, including security and infrastructure vendors, manage and maintain our data using a combination of on-site systems and cloud-based data centers. We face a number of risks related to protecting critical information, including inappropriate use or disclosure, unauthorized access or acquisition, or inappropriate modification of, critical information. We also face the risk of being unable to access our critical information or technology systems due to actual or threats of ransomware, unauthorized encryption, or other malicious activity. We face the risk of being unable to adequately monitor, audit and modify our controls over our critical information. These risks extend to third-party service providers and subcontractors we use to assist us in managing our information or otherwise process it on our behalf. The secure processing, storage, maintenance and transmission of our critical information is vital to our operations and business strategy, and we devote significant resources to protecting such information.</w:t>
      </w:r>
    </w:p>
    <w:p>
      <w:pPr>
        <w:spacing w:after="0" w:line="151" w:lineRule="exact"/>
        <w:rPr>
          <w:sz w:val="20"/>
          <w:szCs w:val="20"/>
          <w:color w:val="auto"/>
        </w:rPr>
      </w:pPr>
    </w:p>
    <w:p>
      <w:pPr>
        <w:jc w:val="both"/>
        <w:ind w:left="640" w:right="639" w:firstLine="351"/>
        <w:spacing w:after="0" w:line="257" w:lineRule="auto"/>
        <w:rPr>
          <w:sz w:val="20"/>
          <w:szCs w:val="20"/>
          <w:color w:val="auto"/>
        </w:rPr>
      </w:pPr>
      <w:r>
        <w:rPr>
          <w:rFonts w:ascii="Times New Roman" w:cs="Times New Roman" w:eastAsia="Times New Roman" w:hAnsi="Times New Roman"/>
          <w:sz w:val="14"/>
          <w:szCs w:val="14"/>
          <w:color w:val="auto"/>
        </w:rPr>
        <w:t>Although we take reasonable measures to protect critical information and other data from unauthorized access, acquisition, use or disclosure, our information technology and infrastructure and that of our service providers handling and storing information on our behalf may be vulnerable to a variety of disruptions, including cybersecurity incidents, data breaches, attacks by hackers and other malicious third parties (including the deployment of computer viruses, malware, ransomware, denial-of-service attacks, social engineering (including phishing attacks), and other events that affect service reliability and threaten the confidentiality, integrity, and availability of information), unauthorized access, natural disasters, fires, terrorism, war, telecommunications or electrical interruptions or failures, employee error or malfeasance or other malicious or inadvertent disruptions. In particular, the risk of a cybersecurity incident, data breach or disruption, particularly through cyber-attacks or cyber intrusion, has generally increased as the number, intensity, and sophistication of attempted attacks and intrusions from around the world have increased. We may not be able to anticipate all types of security threats, and we may not be able to implement preventive measures that are effective against all such security threats. Because the techniques used by cyber criminals change frequently, may not be recognized until launched, and can originate from a wide variety of sources, including outside groups such as external service providers, organized crime affiliates or terrorist organizations, we and our service providers and other partners may be unable to anticipate these techniques or implement adequate preventative measures. Further, we do not have any control over the operations of the facilities or technology of third parties that collect, process and store sensitive information on our behalf. Any unauthorized access or acquisition, cybersecurity incident, data breach, or other loss, of information could result in legal claims or proceedings, and liability under federal, state or foreign laws regarding the privacy and protection of information, including personal information, and could disrupt our operations and harm our reputation. In addition, notice of cybersecurity incidents or data breaches may be required to affected individuals, regulators, credit reporting agencies or the media. Any such publication or notice could harm our reputation and our ability to compete. The financial exposure from the events referenced above could either not be insured against or not be fully covered through any insurance that we may maintain, and there can be no assurance that the limitations of liability in any of our contracts would be enforceable or adequate or would otherwise protect us from liabilities or damages as a result of the events referenced above. Any of the foregoing could have a material adverse effect on our business, financial condition, results of operations and prospects.</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Manufacturing</w:t>
      </w:r>
    </w:p>
    <w:p>
      <w:pPr>
        <w:spacing w:after="0" w:line="95" w:lineRule="exact"/>
        <w:rPr>
          <w:sz w:val="20"/>
          <w:szCs w:val="20"/>
          <w:color w:val="auto"/>
        </w:rPr>
      </w:pPr>
    </w:p>
    <w:p>
      <w:pPr>
        <w:jc w:val="both"/>
        <w:ind w:left="980" w:right="65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Manufacturing and administering our product candidates is complex and we may encounter difficulties in production, particularly with respect to process development or scaling up of our manufacturing capabilities. If we encounter such difficulties, our ability to provide supply of our TCR-T therapy product candidates for clinical trials or, if approved, for commercial purposes, could be delayed or stopped.</w:t>
      </w:r>
    </w:p>
    <w:p>
      <w:pPr>
        <w:spacing w:after="0" w:line="53"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The process of manufacturing and administering our product candidates is complex and highly regulated. The manufacture of our product candidates involves complex processes, including the manufacture of a transposon containing the genetic information for our TCR construct, a transposase used to insert the transposon genetic information into the T cell genome, and manufacturing operations to ensure the safety, integrity, strength, sterility, purity, and quality of the final product. As a result of the complexities entailed in this process, our manufacturing and supply costs may be higher than those of more traditional manufacturing processes and the manufacturing process may be less reliable and more difficult to reproduce. Additionally, the number of facilities that are capable of harvesting cells for the manufacture of our product candidates and other cell therapy products and product candidates is limited. As the number of cell therapy products and product candidates increases, the limited number of facilities capable of harvesting cells could result in delays in the manufacture and administration of our product candidates.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8" w:name="page49"/>
    <w:bookmarkEnd w:id="48"/>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We currently rely on our internal manufacturing facility for clinical manufacturing, and any disruption to this facility could impact our ability to advance our clinical trials. We currently rely on third parties for the manufacture of our non-viral vector and other components of our manufacturing process, and we have engaged a global third-party manufacturer to support the manufacture of products for our clinical trials. These third-party manufacturers may incorporate their own proprietary processes into our components. We have limited control and oversight of a third party’s proprietary process, and a third party may elect to modify its process without our consent or knowledge. These modifications could negatively impact our manufacturing, including product loss or failure that requires additional manufacturing runs or a change in manufacturer, both of which could significantly increase the cost of and significantly delay the manufacture of our product candidates. In addition, we are currently reliant on a single manufacturer for our transposon and transposase components, and many of the critical raw materials and reagents used in the process are single or sole source. These third-party providers may not be able to provide adequate resources, capacity to meet our needs, timely delivery of material, or may change internal processes or specifications that adversely affect our process or product candidates.</w:t>
      </w:r>
    </w:p>
    <w:p>
      <w:pPr>
        <w:spacing w:after="0" w:line="151"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Our manufacturing process is and will be susceptible to product loss or failure due to logistical issues, manufacturing issues associated with the differences in patients’ white blood cells, interruptions in the manufacturing process or supply chain, contamination, equipment or reagent failure, process design flaws, operator error, power failures, supplier error and variability in patient characteristics. Even minor deviations from normal manufacturing processes could result in reduced production yields, product defects, product rejection, or other supply disruptions. If for any reason we lose a patient’s white blood cells, such material gets contaminated or processing steps fail at any point, the manufacturing process of the TCR-T therapy product candidate will need to be restarted, if possible, and the resulting delay may adversely affect a patient’s outcome. If microbial, viral, or other contaminations are discovered in our product candidates or in the manufacturing facilities in which our product candidates or critical raw materials or reagents are made or administered, such manufacturing facilities may need to be closed for an extended period of time to investigate and remedy the contamination.</w:t>
      </w:r>
    </w:p>
    <w:p>
      <w:pPr>
        <w:spacing w:after="0" w:line="146"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 xml:space="preserve">As our product candidates progress through preclinical studies and clinical trials towards licensure and commercialization, it is expected that various aspects of the manufacturing and administration process will be altered in an effort to optimize processes and results, for example, our efforts to develop an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engineering platform for our solid tumor program. We have already identified some improvements to our manufacturing and administration processes, but these changes may not achieve the intended objectives, and could cause our product candidates to perform inadequately affecting the results of ongoing or future clinical trials. In addition, any changes may require amendments to be made to regulatory applications or necessitate development of new or additional TCR constructs and further clinical testing, which may further delay the timeframes under which modified manufacturing processes can be used for any of our product candidates.</w:t>
      </w:r>
    </w:p>
    <w:p>
      <w:pPr>
        <w:spacing w:after="0" w:line="146"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Developing a commercially viable process is a difficult and uncertain task, and there are risks associated with scaling to the level required for advanced clinical trials or commercialization, including, among others, increased costs, potential problems with process scale-out or scale-up, process reproducibility, stability issues, lot consistency, facility suitability or capacity, staffing, and availability of reagents or raw materials. Competitors have had difficulty reliably producing T cell therapies in the commercial setting. If we experience similar challenges manufacturing product candidates to approved specifications, this may limit our product candidates’ utilization and our ability to receive payment for these product candidates once approved. We may ultimately be unable to reduce the expenses associated with our product candidates to levels that will allow us to achieve a profitable return on investment.</w:t>
      </w:r>
    </w:p>
    <w:p>
      <w:pPr>
        <w:spacing w:after="0" w:line="226"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Although many of our personnel have experience in clinical manufacturing at other companies, we have limited experience as a company managing manufacturing for our product candidates, which will be costly, time-consuming, and which may not be successful.</w:t>
      </w:r>
    </w:p>
    <w:p>
      <w:pPr>
        <w:spacing w:after="0" w:line="48"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have limited experience as a company in managing a manufacturing facility or manufacturing suite, and may never be successful in managing our own manufacturing suite, manufacturing facility or manufacturing capability. We will need to hire additional personnel to manage our operations and facilities and develop the necessary infrastructure to continue the research and development, and eventual commercialization, if licensed, of our product candidates. If we fail to recruit the required personnel, manage our growth effectively, have inadequate facility design or construction, or fail to select the correct location, the development and production of our product candidates could be curtailed or delayed. Although we have established a manufacturing facility, our manufacturing capabilities could be affected by cost-overruns, unexpected delays, equipment failures, design or construction flaws, labor shortages, supply disruptions, natural disasters, power failures and numerous other factors that could prevent us from realizing the intended benefits of our manufacturing strategy and have a material adverse effect on our business.</w:t>
      </w:r>
    </w:p>
    <w:p>
      <w:pPr>
        <w:spacing w:after="0" w:line="149" w:lineRule="exact"/>
        <w:rPr>
          <w:sz w:val="20"/>
          <w:szCs w:val="20"/>
          <w:color w:val="auto"/>
        </w:rPr>
      </w:pPr>
    </w:p>
    <w:p>
      <w:pPr>
        <w:jc w:val="both"/>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In addition, the FDA, the European Medicines Agency (EMA), and other foreign regulatory authorities may require us to submit samples of any lot of any licensed product together with the protocols showing the results of applicable tests at any time. Under some circumstances, the FDA, the EMA or other foreign regulatory authorities may require that we not distribute a lot until the relevant agency authorizes its release. Slight deviations in the manufacturing process, including those affecting quality attributes and stability, may result in unacceptable changes in the product that could result in lot failures or product recalls, or inability to manufacture product</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9" w:name="page50"/>
    <w:bookmarkEnd w:id="49"/>
    <w:p>
      <w:pPr>
        <w:jc w:val="both"/>
        <w:ind w:left="640" w:right="659"/>
        <w:spacing w:after="0" w:line="274" w:lineRule="auto"/>
        <w:rPr>
          <w:sz w:val="20"/>
          <w:szCs w:val="20"/>
          <w:color w:val="auto"/>
        </w:rPr>
      </w:pPr>
      <w:r>
        <w:rPr>
          <w:rFonts w:ascii="Times New Roman" w:cs="Times New Roman" w:eastAsia="Times New Roman" w:hAnsi="Times New Roman"/>
          <w:sz w:val="14"/>
          <w:szCs w:val="14"/>
          <w:color w:val="auto"/>
        </w:rPr>
        <w:t>in the future. Lot failures or product recalls could cause us to delay or forgo product launches or clinical trials, which could be costly to us and otherwise harm our business, financial condition, results of operations and prospects. Problems in our manufacturing process or quality control testing could restrict our ability to meet market demand for our product candidates.</w:t>
      </w:r>
    </w:p>
    <w:p>
      <w:pPr>
        <w:spacing w:after="0" w:line="136"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also may encounter problems hiring and retaining the experienced scientific, quality-control and manufacturing personnel needed to operate our manufacturing processes and facility, which could result in delays in production or difficulties in maintaining compliance with applicable regulatory requirements.</w:t>
      </w:r>
    </w:p>
    <w:p>
      <w:pPr>
        <w:spacing w:after="0" w:line="218"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have difficulty validating our manufacturing process as we manufacture TCR-T therapy product candidates from an increasingly diverse patient population for our clinical trials.</w:t>
      </w:r>
    </w:p>
    <w:p>
      <w:pPr>
        <w:spacing w:after="0" w:line="3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As we develop our clinical products, we may encounter unforeseen difficulties due to quality, quantity, supply timing, or variability issues with donor starting materials and may not be able to develop a robust process or incur additional costs or delays in developing a robust process due to starting material variation or supply.</w:t>
      </w:r>
    </w:p>
    <w:p>
      <w:pPr>
        <w:spacing w:after="0" w:line="136"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Although we believe our current manufacturing process is scalable for commercialization, we may encounter challenges in validating our process due to the heterogeneity of the product starting material. While we anticipate that during the early phases of our clinical trials we will be able to adapt our process to account for these differences resulting in a more robust process, we cannot guarantee that issues relating to the heterogeneity of the starting material will not impact our ability to manufacture our product candidates for clinical or commercial distribution.</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95"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regulatory approval process is lengthy and time-consuming, and we may experience significant delays in the clinical development and regulatory approval of our product candidates.</w:t>
      </w:r>
    </w:p>
    <w:p>
      <w:pPr>
        <w:spacing w:after="0" w:line="34"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have not previously submitted a BLA to the FDA or similar licensure applications to comparable foreign regulatory authorities. A BLA, or similar licensing application, must include extensive preclinical and clinical data and supporting information to establish the product candidate’s safety, purity, and potency for each desired indication and must also include significant information regarding the manufacturing controls for the product. We expect the novel nature of our product candidates to create further challenges in obtaining regulatory approval. Accordingly, the regulatory approval pathway for our product candidates may be uncertain, complex, expensive and lengthy, and licensure may not be obtained.</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We may also experience delays in completing planned clinical trials for a variety of reasons, including delays related to:</w:t>
      </w:r>
    </w:p>
    <w:p>
      <w:pPr>
        <w:spacing w:after="0" w:line="97" w:lineRule="exact"/>
        <w:rPr>
          <w:sz w:val="20"/>
          <w:szCs w:val="20"/>
          <w:color w:val="auto"/>
        </w:rPr>
      </w:pPr>
    </w:p>
    <w:p>
      <w:pPr>
        <w:ind w:left="1340" w:hanging="352"/>
        <w:spacing w:after="0"/>
        <w:tabs>
          <w:tab w:leader="none" w:pos="1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financial resources to commence and complete the planned trials;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approval at each clinical trial site by an IRB or ethics committee;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recruiting suitable patients to participate in a clinical trial;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having patients complete a clinical trial or return for post-treatment follow-up;</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 sites deviating from trial protocol or dropping out of a trial;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adding new clinical trial sites; or</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sufficient quantities of qualified materials under cGMPs, including current Good Tissue Practice (cGTPs), and applying them on a subject-by-subject basis for use in clinical trials.</w:t>
      </w:r>
    </w:p>
    <w:p>
      <w:pPr>
        <w:spacing w:after="0" w:line="12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could also experience delays if physicians encounter unresolved ethical issues associated with enrolling patients in clinical trials of our product candidates in lieu of prescribing existing treatments that have established safety, efficacy, potency and purity profiles. Further, a clinical trial may be suspended or terminated by us, the IRBs for the institutions in which such trials are being conducted, the data monitoring committee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0" w:name="page51"/>
    <w:bookmarkEnd w:id="50"/>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Securing regulatory approval also requires the submission of information about the biologic manufacturing process and inspection of manufacturing facilities by the relevant regulatory authority. The FDA or comparable foreign regulatory authorities may fail to approve our manufacturing processes or facilities, whether run by us or our third-party CDMOs. In addition, if we make manufacturing changes to our product candidates in the future, we may need to conduct additional preclinical studies or clinical trials to bridge our modified product candidates to earlier versions.</w:t>
      </w:r>
    </w:p>
    <w:p>
      <w:pPr>
        <w:spacing w:after="0" w:line="142" w:lineRule="exact"/>
        <w:rPr>
          <w:sz w:val="20"/>
          <w:szCs w:val="20"/>
          <w:color w:val="auto"/>
        </w:rPr>
      </w:pPr>
    </w:p>
    <w:p>
      <w:pPr>
        <w:jc w:val="both"/>
        <w:ind w:left="640" w:right="639" w:firstLine="351"/>
        <w:spacing w:after="0" w:line="292" w:lineRule="auto"/>
        <w:rPr>
          <w:sz w:val="20"/>
          <w:szCs w:val="20"/>
          <w:color w:val="auto"/>
        </w:rPr>
      </w:pPr>
      <w:r>
        <w:rPr>
          <w:rFonts w:ascii="Times New Roman" w:cs="Times New Roman" w:eastAsia="Times New Roman" w:hAnsi="Times New Roman"/>
          <w:sz w:val="14"/>
          <w:szCs w:val="14"/>
          <w:color w:val="auto"/>
        </w:rPr>
        <w:t>Many of the factors that cause, or lead to, a delay in the commencement or completion of clinical trials may ultimately lead to the denial of regulatory approval of our product candidates.</w:t>
      </w:r>
    </w:p>
    <w:p>
      <w:pPr>
        <w:spacing w:after="0" w:line="206" w:lineRule="exact"/>
        <w:rPr>
          <w:sz w:val="20"/>
          <w:szCs w:val="20"/>
          <w:color w:val="auto"/>
        </w:rPr>
      </w:pPr>
    </w:p>
    <w:p>
      <w:pPr>
        <w:jc w:val="both"/>
        <w:ind w:left="980" w:right="6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obtain regulatory approval for our product candidates under applicable regulatory requirements. The denial or delay of any such approval would delay commercialization of our product candidates and adversely impact our potential to generate revenue, our business and our results of operations.</w:t>
      </w:r>
    </w:p>
    <w:p>
      <w:pPr>
        <w:spacing w:after="0" w:line="48"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The research, testing, manufacturing, labeling, licensure, sale, marketing and distribution of biologic products are subject to extensive regulation by the FDA and other regulatory authorities in the U.S. and other countries, and such regulations differ from country to country. We are not permitted to market our product candidates in the U.S. or in any foreign countries until they receive the requisite licensure from the applicable regulatory authorities of such jurisdictions.</w:t>
      </w:r>
    </w:p>
    <w:p>
      <w:pPr>
        <w:spacing w:after="0" w:line="140"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FDA or any foreign regulatory authorities can delay, limit or deny licensure of our product candidates for many reasons, including:</w:t>
      </w:r>
    </w:p>
    <w:p>
      <w:pPr>
        <w:spacing w:after="0" w:line="38" w:lineRule="exact"/>
        <w:rPr>
          <w:sz w:val="20"/>
          <w:szCs w:val="20"/>
          <w:color w:val="auto"/>
        </w:rPr>
      </w:pPr>
    </w:p>
    <w:p>
      <w:pPr>
        <w:ind w:left="1340" w:right="659" w:hanging="352"/>
        <w:spacing w:after="0" w:line="292" w:lineRule="auto"/>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demonstrate to the satisfaction of the FDA or the applicable foreign regulatory authority that any of our product candidates are safe, potent and pure;</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FDA’s or the applicable foreign regulatory agency’s disagreement with our trial protocol or the interpretation of data from preclinical studies or clinical trials;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demonstrate that the clinical and other benefits of any of our product candidates outweigh any safety or other perceived risks;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FDA’s or the applicable foreign regulatory agency’s requirement for additional preclinical studies or clinical trials;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clinical trials may not meet the level of statistical significance required by the FDA or comparable foreign regulatory authorities for licensure;</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FDA’s or the applicable foreign regulatory agency’s failure to approve our manufacturing processes or facilities or those of third-party manufacturers upon which we rely;</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approval policies or regulations of the FDA or the applicable foreign regulatory authorities to significantly change in a manner rendering our clinical data insufficient for licensure;</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licensure of our product candidates in the U.S. or elsewhere; or</w:t>
      </w:r>
    </w:p>
    <w:p>
      <w:pPr>
        <w:spacing w:after="0" w:line="50" w:lineRule="exact"/>
        <w:rPr>
          <w:rFonts w:ascii="Times New Roman" w:cs="Times New Roman" w:eastAsia="Times New Roman" w:hAnsi="Times New Roman"/>
          <w:sz w:val="14"/>
          <w:szCs w:val="14"/>
          <w:color w:val="auto"/>
        </w:rPr>
      </w:pPr>
    </w:p>
    <w:p>
      <w:pPr>
        <w:ind w:left="1340" w:right="639" w:hanging="352"/>
        <w:spacing w:after="0" w:line="292" w:lineRule="auto"/>
        <w:tabs>
          <w:tab w:leader="none" w:pos="1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policies or regulations of the FDA or comparable foreign regulatory authorities may significantly change in a manner rendering our clinical data insufficient for approval.</w:t>
      </w:r>
    </w:p>
    <w:p>
      <w:pPr>
        <w:spacing w:after="0" w:line="12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Any of these factors, some of which are beyond our control, may result in our failing to obtain regulatory approval to market any of our product candidates, which would significantly harm our business, results of operations, and prospects. Of the large number of biological products in development, only a small percentage successfully complete the FDA or other regulatory approval processes and are commercialized. Even if we eventually complete clinical testing and receive licensure from the FDA or applicable foreign regulatory authorities for any of our product candidates, the FDA or the applicable foreign regulatory agency may grant licensure contingent on the performance of costly additional clinical trials which may be required after licensure. The FDA or the applicable foreign regulatory agency also may license our product candidates for a more limited indication or a narrower patient population than we originally requested, and the FDA, or applicable foreign regulatory agency, may not license our product candidates with the labeling that we believe is necessary or desirable for the successful commercialization of such product candidates.</w:t>
      </w:r>
    </w:p>
    <w:p>
      <w:pPr>
        <w:spacing w:after="0" w:line="149"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In addition, even if the trials are successfully completed, preclinical and clinical data are often susceptible to varying interpretations and analyses, and we cannot guarantee that the FDA or comparable foreign regulatory authorities will interpret the results as we do, and more clinical trials could be required before we submit our product candidates for approval. To the extent that the results of the clinical trials are not satisfactory to the FDA or comparable foreign regulatory authorities for support of a marketing application, approval of our product candidates may be significantly delayed, or we may be required to expend significant additional resources, which may not be available to us, to conduct additional clinical trials in support of potential approval of our product candidates.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1" w:name="page52"/>
    <w:bookmarkEnd w:id="51"/>
    <w:p>
      <w:pPr>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Any delay in obtaining, or inability to obtain, applicable regulatory approval would delay or prevent commercialization of our product candidates and would materially adversely impact our business and prospects.</w:t>
      </w:r>
    </w:p>
    <w:p>
      <w:pPr>
        <w:spacing w:after="0" w:line="206"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may seek orphan drug status for some of our current or future product candidates, but we may be unable to obtain such designations or to maintain the benefits associated with orphan drug status, including market exclusivity, which may cause our revenue, if any, to be reduced.</w:t>
      </w:r>
    </w:p>
    <w:p>
      <w:pPr>
        <w:spacing w:after="0" w:line="48"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Under the Orphan Drug Act, the FDA may grant orphan designation to a drug or biologic intended to treat a rare disease or condition, defined as a disease or condition with a patient population of fewer than 200,000 in the U.S., or a patient population greater than 200,000 in the U.S. when there is no reasonable expectation that the cost of developing and making available the drug or biologic in the U.S. will be recovered from sales in the U.S. for that drug or biologic. Orphan drug designation must be requested before submitting a BLA. In the U.S.,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146"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BLA, to market the same biologic for the same approved use or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drugs that have a different active ingredient for use in treating the same indication or disease. Furthermore, the FDA can waive orphan exclusivity if we are unable to manufacture sufficient supply of our product.</w:t>
      </w:r>
    </w:p>
    <w:p>
      <w:pPr>
        <w:spacing w:after="0" w:line="149"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may seek orphan drug designation for some or all of our current or future product candidates in additional orphan indications in which there is a medically plausible basis for the use of these products. Even when we obtain orphan drug designation, exclusive marketing rights in the U.S. may be limited if we seek licensure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 In addition, although we intend to seek orphan drug designation for other product candidates, we may never receive such designations.</w:t>
      </w:r>
    </w:p>
    <w:p>
      <w:pPr>
        <w:spacing w:after="0" w:line="14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18"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48"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plan to seek a Breakthrough Therapy designation for our current product candidates and may seek Breakthrough Therapy designation for some or all of our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Biologics designated as Breakthrough Therapies by the FDA may also be eligible for other expedited approval programs, including Accelerated Approval.</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2" w:name="page53"/>
    <w:bookmarkEnd w:id="52"/>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licensure compared to candidate products considered for licensure under non-expedited FDA review procedures and does not assure ultimate approval by the FDA. In addition, even if one or more of our product candidates qualify as Breakthrough Therapies, the FDA may later decide that the product no longer meets the conditions for qualification. Thus, even though we intend to seek Breakthrough Therapy designation for some or all of our future product candidates for the treatment of various cancers, there can be no assurance that we will receive Breakthrough Therapy designation.</w:t>
      </w:r>
    </w:p>
    <w:p>
      <w:pPr>
        <w:spacing w:after="0" w:line="228"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A Fast Track designation by the FDA, even if granted for any of our current or future product candidates, may not lead to a faster development or regulatory review or approval process, and does not increase the likelihood that our product candidates will receive marketing approval.</w:t>
      </w:r>
    </w:p>
    <w:p>
      <w:pPr>
        <w:spacing w:after="0" w:line="48"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If a drug is intended for the treatment of a serious or life-threatening condition and the drug demonstrates the potential to address unmet medical needs for this condition, the drug sponsor may apply for FDA Fast Track designation for a particular indication. We plan to seek Fast Track designation for our current product candidates and may seek Fast Track designation for certain of our future product candidates, but there is no assurance that the FDA will grant this status to any of our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licensure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231" w:lineRule="exact"/>
        <w:rPr>
          <w:sz w:val="20"/>
          <w:szCs w:val="20"/>
          <w:color w:val="auto"/>
        </w:rPr>
      </w:pPr>
    </w:p>
    <w:p>
      <w:pPr>
        <w:jc w:val="both"/>
        <w:ind w:left="980" w:right="659"/>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seek Accelerated Approval from the FDA for any of our current or future product candidates. Accelerated Approval, even if granted, for any of our current or future product candidates, may not lead to a faster development, or regulatory review or approval process, and it does not increase the likelihood that our product candidates will receive marketing approval.</w:t>
      </w:r>
    </w:p>
    <w:p>
      <w:pPr>
        <w:spacing w:after="0" w:line="226"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may seek approval of our current product candidates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(IMM) that is reasonably likely to predict an effect on IMM or other clinical benefit. As a condition of approval, the FDA requires that a sponsor of a drug or biologic receiving Accelerated Approval perform adequate and well-controlled post-marketing clinical trials. These confirmatory trials must be completed with due diligence.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regulatory review or approval process for that product. Approval of a product may be withdrawn if these trials fail to verify clinical benefit or do not demonstrate sufficient clinical benefit to justify the risks associated with the product. In addition, receiving Accelerated Approval does not provide assurance of ultimate FDA approval.</w:t>
      </w:r>
    </w:p>
    <w:p>
      <w:pPr>
        <w:spacing w:after="0" w:line="231" w:lineRule="exact"/>
        <w:rPr>
          <w:sz w:val="20"/>
          <w:szCs w:val="20"/>
          <w:color w:val="auto"/>
        </w:rPr>
      </w:pPr>
    </w:p>
    <w:p>
      <w:pPr>
        <w:jc w:val="both"/>
        <w:ind w:left="980" w:right="65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A Regenerative Medicine Advanced Therapy (RMAT) designation by the FDA, even if granted for any of our product candidates, may not lead to a faster development or regulatory review or approval process, and does not increase the likelihood that our product candidates will receive marketing approval and we may be unable to obtain or maintain the benefits associated with such designation.</w:t>
      </w:r>
    </w:p>
    <w:p>
      <w:pPr>
        <w:spacing w:after="0" w:line="53"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We have obtained and may continue to seek an RMAT designation for some of our product candidates. In May 2024, we announced that the FDA granted RMAT designation for TSC-100 and TSC-101 for the treatment of patients with AML, ALL, and MDS undergoing HCT with reduced intensity conditioning. An RMAT is defined as cell therapies, therapeutic tissue engineering products, human cell and tissue products, and combination products using any such therapies or products, except for those regulated solely under Section 361 of the Public Health Service Act. The RMAT program is intended to facilitate efficient development and expedite review of RMATs which are intended to treat, modify, reverse, or cure a serious or life-threatening disease or condition and where preliminary clinical evidence indicates the product has the potential to address unmet medical needs for such disease or condition. A BLA for an RMAT may be eligible for priority review if it meets the criteria for priority review, or for accelerated approval based on surrogate or intermediate endpoints reasonably likely to predict long-term clinical benefit or reliance upon data obtained from a meaningful number of sites. Benefits of RMAT designation include all the benefits of the Fast Track and Breakthrough Therapy designation programs, including early interactions with the FDA, which could include interactions with FDA to discuss any potential surrogate or intermediate endpoint to be used to support accelerated approval. An RMAT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3" w:name="page54"/>
    <w:bookmarkEnd w:id="53"/>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RMAT designation is within the discretion of the FDA. Accordingly, even if we believe one of our product candidates meets the criteria for RMAT designation and seek RMAT designation for such product candidate, the FDA may disagree and instead determine not to make such designation. In any event, the receipt of RMAT designation for a product candidate may not result in a faster development, review or approval process compared to product candidates considered for approval under non-expedited FDA procedures and does not assure ultimate approval by the FDA. In addition, even if one or more of our product candidates qualify for RMAT designation, the FDA may later decide that the product candidate no longer meets the conditions for qualification.</w:t>
      </w:r>
    </w:p>
    <w:p>
      <w:pPr>
        <w:spacing w:after="0" w:line="226"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seek designation for our target discovery platform as a designated platform technology, but we might not receive such designation, and even if we do, such designation may not lead to a faster regulatory review or approval process</w:t>
      </w:r>
      <w:r>
        <w:rPr>
          <w:rFonts w:ascii="Times New Roman" w:cs="Times New Roman" w:eastAsia="Times New Roman" w:hAnsi="Times New Roman"/>
          <w:sz w:val="14"/>
          <w:szCs w:val="14"/>
          <w:i w:val="1"/>
          <w:iCs w:val="1"/>
          <w:color w:val="auto"/>
        </w:rPr>
        <w:t>.</w:t>
      </w:r>
    </w:p>
    <w:p>
      <w:pPr>
        <w:spacing w:after="0" w:line="34"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We may seek designation for our target discovery platform as a designated platform technology. Under the Food and Drug Omnibus Reform Act of 2022 (FDORA), a platform technology incorporated within or utilized by a biological product is eligible for designation as a designated platform technology if (1) the platform technology is incorporated in, or utilized by, a biological product approved under a BLA; (2) preliminary evidence submitted by the sponsor of the licensed biological product, or a sponsor that has been granted a right of reference to data submitted in the application for such biological product, demonstrates that the platform technology has the potential to be incorporated in, or utilized by, more than one biological product without an adverse effect on quality, manufacturing, or safety; and (3) data or information submitted by the applicable person indicates that incorporation or utilization of the platform technology has a reasonable likelihood to bring significant efficiencies to the biological product development or manufacturing process and to the review process. A sponsor may request the FDA to designate a platform technology as a designated platform technology concurrently with, or at any time after, submission of an IND application for a biological product that incorporates or utilizes the platform technology that is the subject of the request. If so designated, the FDA may expedite the development and review of any subsequent original BLA for a biological product that uses or incorporates the platform technology. Even if we believe our target discovery platform technology meets the criteria for such designation, the FDA may disagree and instead determine not to grant such designation. In addition, the receipt of such designation for a platform technology does not ensure that a biological product will be developed more quickly or receive FDA approval. Moreover, the FDA may revoke a designation if the FDA determines that a designated platform technology no longer meets the criteria for such designation.</w:t>
      </w:r>
    </w:p>
    <w:p>
      <w:pPr>
        <w:spacing w:after="0" w:line="234"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3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and licensure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any of our product candidates for which we receive marketing approval is also subject to approval.</w:t>
      </w:r>
    </w:p>
    <w:p>
      <w:pPr>
        <w:spacing w:after="0" w:line="146"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 candidates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26"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48"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Any regulatory approvals that we receive for our product candidates will require surveillance to monitor the safety, potency and purity of the product candidate. The FDA may also require a risk evaluation and mitigation strategy in order to license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cGTPs and good clinical practices (GCPs) for any clinical trials that we conduct post-licensure.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Later discovery of previously unknown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4" w:name="page55"/>
    <w:bookmarkEnd w:id="54"/>
    <w:p>
      <w:pPr>
        <w:ind w:left="640" w:right="659"/>
        <w:spacing w:after="0" w:line="292" w:lineRule="auto"/>
        <w:rPr>
          <w:sz w:val="20"/>
          <w:szCs w:val="20"/>
          <w:color w:val="auto"/>
        </w:rPr>
      </w:pPr>
      <w:r>
        <w:rPr>
          <w:rFonts w:ascii="Times New Roman" w:cs="Times New Roman" w:eastAsia="Times New Roman" w:hAnsi="Times New Roman"/>
          <w:sz w:val="14"/>
          <w:szCs w:val="14"/>
          <w:color w:val="auto"/>
        </w:rPr>
        <w:t>problems with our product candidates, including adverse events of unanticipated severity or frequency, or with our manufacturing processes (or those of third parties we engage), or failure to comply with regulatory requirements, may result in, among other things:</w:t>
      </w:r>
    </w:p>
    <w:p>
      <w:pPr>
        <w:spacing w:after="0" w:line="38" w:lineRule="exact"/>
        <w:rPr>
          <w:sz w:val="20"/>
          <w:szCs w:val="20"/>
          <w:color w:val="auto"/>
        </w:rPr>
      </w:pPr>
    </w:p>
    <w:p>
      <w:pPr>
        <w:ind w:left="1340" w:right="659" w:hanging="352"/>
        <w:spacing w:after="0" w:line="292" w:lineRule="auto"/>
        <w:tabs>
          <w:tab w:leader="none" w:pos="1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our product candidates, withdrawal of the product from the market or voluntary or mandatory product recalls;</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68" w:lineRule="auto"/>
        <w:tabs>
          <w:tab w:leader="none" w:pos="1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FDORA, sponsors of approved drugs and biologics must provide six months’ notice to the FDA of any changes in marketing status, or for discontinuing or interrupting supply of certain drugs, including the withdrawal of a product, and failure to do so could result in a letter citing such failure to comply as well as the public posting of such letter and redacted company response;</w:t>
      </w:r>
    </w:p>
    <w:p>
      <w:pPr>
        <w:spacing w:after="0" w:line="54"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revisions to the labeling, including limitation on approved uses or the addition of additional warnings, contraindications or other safety information, including boxed warnings;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a REMS, which may include distribution or use restrictions;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to conduct additional post-market clinical trials to assess the safety of the product;</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letters, FDA Form 483s, or holds on clinical trials;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by the FDA to approve pending applications or supplements to approved applications filed by us or suspension or revocation of license approvals;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 or refusal to permit the import or export of our product candidates;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183"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This decision may result in more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31" w:lineRule="exact"/>
        <w:rPr>
          <w:sz w:val="20"/>
          <w:szCs w:val="20"/>
          <w:color w:val="auto"/>
        </w:rPr>
      </w:pPr>
    </w:p>
    <w:p>
      <w:pPr>
        <w:jc w:val="both"/>
        <w:ind w:left="980" w:right="659"/>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The third-party payer or insurance coverage and reimbursement status of newly-approved products are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57"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The regulations that govern marketing approvals, pricing, coverage and reimbursement for new drugs vary widely from country to country. In the U.S.,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 For more information, please see “Item 1. Business – Government Regulation – Coverage and Reimbursement” in our Annual Report on Form 10-K filed with the SEC on March 4, 2026.</w:t>
      </w:r>
    </w:p>
    <w:p>
      <w:pPr>
        <w:spacing w:after="0" w:line="151"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5" w:name="page56"/>
    <w:bookmarkEnd w:id="55"/>
    <w:p>
      <w:pPr>
        <w:jc w:val="both"/>
        <w:ind w:left="640" w:right="659"/>
        <w:spacing w:after="0" w:line="260" w:lineRule="auto"/>
        <w:rPr>
          <w:sz w:val="20"/>
          <w:szCs w:val="20"/>
          <w:color w:val="auto"/>
        </w:rPr>
      </w:pPr>
      <w:r>
        <w:rPr>
          <w:rFonts w:ascii="Times New Roman" w:cs="Times New Roman" w:eastAsia="Times New Roman" w:hAnsi="Times New Roman"/>
          <w:sz w:val="14"/>
          <w:szCs w:val="14"/>
          <w:color w:val="auto"/>
        </w:rPr>
        <w:t>and other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cell therapy products. Sales of these or other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are not available, or are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49"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Reimbursement by a third-party payor may depend upon a number of factors, including, but not limited to, the third-party payor’s determination that use of a product is:</w:t>
      </w:r>
    </w:p>
    <w:p>
      <w:pPr>
        <w:spacing w:after="0" w:line="38" w:lineRule="exact"/>
        <w:rPr>
          <w:sz w:val="20"/>
          <w:szCs w:val="20"/>
          <w:color w:val="auto"/>
        </w:rPr>
      </w:pPr>
    </w:p>
    <w:p>
      <w:pPr>
        <w:ind w:left="1340" w:hanging="352"/>
        <w:spacing w:after="0"/>
        <w:tabs>
          <w:tab w:leader="none" w:pos="1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benefit under its health plan;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 effective and medically necessary;</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appropriate for the specific patient;</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cost-effective;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experimental nor investigational.</w:t>
      </w:r>
    </w:p>
    <w:p>
      <w:pPr>
        <w:spacing w:after="0" w:line="183"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U.S., the reimbursement for products may be reduced compared with the U.S. and may be insufficient to generate commercially reasonable revenues and profits.</w:t>
      </w:r>
    </w:p>
    <w:p>
      <w:pPr>
        <w:spacing w:after="0" w:line="321"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U.S., the principal decisions about reimbursement for new medicines are typically made by the Centers for Medicaid and Medicare Services (CMS), an agency within the U.S. Department of Health and Human Services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 candidates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48"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(ASP) and best price. Penalties may apply in some cases when such metrics are not submitted accurately and timely. Further, these prices for drugs may be reduced by mandatory discounts or rebates required by government healthcare programs.</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6" w:name="page57"/>
    <w:bookmarkEnd w:id="56"/>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 candidates compared to standard of care drugs, including lower-priced biosimilar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28"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impact of recent healthcare reform legislation and other changes in the healthcare industry and in healthcare spending on us is currently unknown and may adversely affect our business model.</w:t>
      </w:r>
    </w:p>
    <w:p>
      <w:pPr>
        <w:spacing w:after="0" w:line="34"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For more information on healthcare laws and regulations that may impact us, please see “Item 1. Business – Government Regulation – Healthcare Legislative Reform” in our Annual Report on Form 10-K field with the SEC on March 4, 2026.</w:t>
      </w:r>
    </w:p>
    <w:p>
      <w:pPr>
        <w:spacing w:after="0" w:line="14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Affordable Care Act. The continuing efforts of the government, insurance companies, managed care organizations and other payors of healthcare services to contain or reduce costs of healthcare and/or impose price controls may adversely affect:</w:t>
      </w:r>
    </w:p>
    <w:p>
      <w:pPr>
        <w:spacing w:after="0" w:line="56" w:lineRule="exact"/>
        <w:rPr>
          <w:sz w:val="20"/>
          <w:szCs w:val="20"/>
          <w:color w:val="auto"/>
        </w:rPr>
      </w:pPr>
    </w:p>
    <w:p>
      <w:pPr>
        <w:ind w:left="1340" w:hanging="352"/>
        <w:spacing w:after="0"/>
        <w:tabs>
          <w:tab w:leader="none" w:pos="1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demand for our product candidates, if we obtain regulatory approval;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set a price that we believe is fair for our product candidates;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coverage and reimbursement approval for a product candidate;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revenue and achieve or maintain profitability;</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taxes that we are required to pay;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capital.</w:t>
      </w:r>
    </w:p>
    <w:p>
      <w:pPr>
        <w:spacing w:after="0" w:line="183"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Any reduction in reimbursement from Medicare or other government programs may result in a similar reduction in payments from private payors, which may adversely affect our future profitability. 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26"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Regulatory requirements in the U.S. and abroad governing cell therapy products have changed frequently and may continue to change in the future, which could negatively impact our ability to complete clinical trials and commercialize our product candidates in a timely manner, if at all.</w:t>
      </w:r>
    </w:p>
    <w:p>
      <w:pPr>
        <w:spacing w:after="0" w:line="48"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Regulatory requirements in the U.S. and abroad governing cell therapy products have changed frequently and may continue to change in the future. The FDA has established an office, called the Office of Therapeutic Products within its Center for Biologics Evaluation and Research to meet its growing cell and gene therapy workload. The FDA also established the Cellular, Tissue and Gene Therapies Advisory Committee to advise its review. Under guidelines issued by the National Institutes of Health (NIH) certain gene therapy clinical trials are subject to review and oversight by an institutional biosafety committee (IBC) a local institutional committee that reviews and oversees research utilizing recombinant or synthetic nucleic acid molecules at that institution. Before such a clinical trial can begin, the institution’s institutional review board (IRB) and its IBC assess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Moreover, serious adverse events or developments in clinical trials of gene therapy product candidates conducted by others may cause the FDA or other regulatory bodies to initiate a clinical hold on our clinical trials or otherwise change the requirements for approval of any of our product candidates. Although the FDA decides whether individual cell and gene therapy protocols may proceed, the review process and determinations of other reviewing bodies can impede or delay the initiation of a clinical trial, even if the FDA has reviewed the trial and approved its initiation.</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7" w:name="page58"/>
    <w:bookmarkEnd w:id="57"/>
    <w:p>
      <w:pPr>
        <w:jc w:val="both"/>
        <w:ind w:left="980" w:right="65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Inadequate funding for the FDA, the SEC and other government agencies could hinder their ability to hire and retain key personnel, and substantial changes in leadership, personnel, organizational structure, and policy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0"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ability of the FDA to review and approve new products can be affected by a variety of factors, including staffing, government budget and funding levels, the FDA’s ability to hire and retain key personnel and accept the payment of user fees,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For example, over the last several years the U.S. government has shut down several times and certain regulatory agencies, such as the FDA and the SEC, in some instances have had to furlough critical FDA, SEC and other government employees and stop critical activities.</w:t>
      </w:r>
    </w:p>
    <w:p>
      <w:pPr>
        <w:spacing w:after="0" w:line="146"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Disruptions at the FDA and other agencies, including substantial leadership departures and changes, personnel cuts and policy changes, may also slow the time necessary for new drugs to be reviewed and/or approved, which would harm our business. Changes and cuts in FDA staffing also could result in delays in the FDA’s responsiveness or in its ability to review, or consistency in reviewing, regulatory submissions or applications, issue regulations or guidance, or implement or enforce regulatory requirements in a timely fashion or at all. If a prolonged government shutdown or substantial leadership, personnel, and policy changes occur,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 Such changes could significantly impact the ability of the FDA to timely review and take action on our regulatory submissions, which could have a material adverse effect on our business. Further, in our operations as a public company, future government shutdowns or substantial leadership, personnel, and policy changes could impact our ability to access the public markets and obtain necessary capital in order to properly capitalize and continue our operations.</w:t>
      </w:r>
    </w:p>
    <w:p>
      <w:pPr>
        <w:spacing w:after="0" w:line="149"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With the change in the U.S. presidential administration in 2025, there is substantial uncertainty as to the extent and nature of how the Trump administration will continue to seek to modify or revise the requirements and policies of the FDA and other regulatory agencies with jurisdiction over our product candidates. This uncertainty could present new challenges and/or opportunities as we navigate development of our product candidates. Additionally, the Trump administration could issue or promulgate executive orders, regulations, policies or guidance that adversely affect us or create a more challenging or costly environment to pursue the development of new product candidates. Also, state governments may seek to address or react to changes at the federal level with changes to their regulatory frameworks in a manner that could impact our operations. Any delay in obtaining, or our inability to obtain, applicable regulatory approvals would delay or prevent development and commercialization of our product candidates and could materially adversely impact our business and prospects.</w:t>
      </w:r>
    </w:p>
    <w:p>
      <w:pPr>
        <w:spacing w:after="0" w:line="149"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We are subject to the obligations to and the rights of the U.S. government set forth in the Bayh-Dole Act of 1980 (Bayh-Dole Act). As a result, the U.S. government may have rights in certain inventions developed under these government-funded programs, including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w:t>
      </w:r>
    </w:p>
    <w:p>
      <w:pPr>
        <w:spacing w:after="0" w:line="14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Any exercise of the march-in rights by the U.S. government could harm our competitive position, business, financial condition, results of operations and prospects. In December 2023, the Biden administration released a proposed framework specifying for the first time that price can be a factor in considering whether an invention is sufficiently available to the public. The proposed framework could potentially enable march-in rights to be used as a tool to regulate drug pricing. The potential inclusion of price as a factor in a march-in determination is expected to draw extensive criticism and challenge, and the ultimate impact is currently unknown. If the U.S. government exercises such march-in rights, we may receive compensation deemed reasonable by the U.S. government, which may be less than what we might be able to obtain in the open market. IP generated under a government-funded program is also subject to certain reporting requirements, compliance with which may require us to expend substantial resources.</w:t>
      </w:r>
    </w:p>
    <w:p>
      <w:pPr>
        <w:spacing w:after="0" w:line="228"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34" w:lineRule="exact"/>
        <w:rPr>
          <w:sz w:val="20"/>
          <w:szCs w:val="20"/>
          <w:color w:val="auto"/>
        </w:rPr>
      </w:pPr>
    </w:p>
    <w:p>
      <w:pPr>
        <w:jc w:val="both"/>
        <w:ind w:left="640" w:right="639" w:firstLine="351"/>
        <w:spacing w:after="0" w:line="267" w:lineRule="auto"/>
        <w:rPr>
          <w:sz w:val="20"/>
          <w:szCs w:val="20"/>
          <w:color w:val="auto"/>
        </w:rPr>
      </w:pPr>
      <w:r>
        <w:rPr>
          <w:rFonts w:ascii="Times New Roman" w:cs="Times New Roman" w:eastAsia="Times New Roman" w:hAnsi="Times New Roman"/>
          <w:sz w:val="14"/>
          <w:szCs w:val="14"/>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regulations of the FDA and other similar foreign regulatory authorities, provide true, complete and accurate information to the FDA and other similar foreign regulatory authorities, comply with manufacturing standards we have established, comply with</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58" w:name="page59"/>
    <w:bookmarkEnd w:id="58"/>
    <w:p>
      <w:pPr>
        <w:jc w:val="both"/>
        <w:ind w:left="640" w:right="659"/>
        <w:spacing w:after="0" w:line="259" w:lineRule="auto"/>
        <w:rPr>
          <w:sz w:val="20"/>
          <w:szCs w:val="20"/>
          <w:color w:val="auto"/>
        </w:rPr>
      </w:pPr>
      <w:r>
        <w:rPr>
          <w:rFonts w:ascii="Times New Roman" w:cs="Times New Roman" w:eastAsia="Times New Roman" w:hAnsi="Times New Roman"/>
          <w:sz w:val="14"/>
          <w:szCs w:val="14"/>
          <w:color w:val="auto"/>
        </w:rPr>
        <w:t>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products in the U.S., our potential exposure under such laws and regulations will increase significantly, and our costs associated with compliance with such laws and regulations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For more information, please see “Item 1. Business – Government Regulation – Anti-Kickback and False Claims Laws and Other Regulatory Matters” in our Annual Report on Form 10-K filed with the SEC on March 4, 2026.</w:t>
      </w:r>
    </w:p>
    <w:p>
      <w:pPr>
        <w:spacing w:after="0" w:line="149"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Additionally, we are subject to state and foreign equivalents of each of the healthcare laws described above, among others, some of which may be broader in scope and may apply regardless of the payor.</w:t>
      </w:r>
    </w:p>
    <w:p>
      <w:pPr>
        <w:spacing w:after="0" w:line="12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have adopted a code of conduct,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40"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 any of which could adversely affect our ability to operate our business and our results of operations.</w:t>
      </w:r>
    </w:p>
    <w:p>
      <w:pPr>
        <w:spacing w:after="0" w:line="151"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44"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The provision of benefits or advantages to physicians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the Bribery Act 2010 (Bribery Act) in the UK. Infringement of these laws could result in substantial fines and imprisonment. Payments made to physicians in certain EU Member States must be publicly disclosed.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 Moreover, agreements with physicians often must be the subject of prior notification and approval by the physician’s employer, his or her competent professional organization and/or the regulatory authorities of the individual EU Member States.</w:t>
      </w:r>
    </w:p>
    <w:p>
      <w:pPr>
        <w:spacing w:after="0" w:line="151"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9" w:name="page60"/>
    <w:bookmarkEnd w:id="59"/>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are currently subject to, and may in the future become subject to additional, federal, state and foreign laws and regulations, industry guidelines, and contractual requirements, imposing obligations on how we collect, store, use and process personal information. Our actual or perceived failure to comply with such obligations could harm our business.</w:t>
      </w:r>
    </w:p>
    <w:p>
      <w:pPr>
        <w:spacing w:after="0" w:line="48"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are, and may increasingly become, subject to various laws and regulations, as well as contractual obligations and mandatory industry standards relating to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44"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In the U.S., various federal and state regulators, including governmental agencies like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established new privacy rights for California residents and introduced new on covered companies that process personal information of California residents. Among other things, the CCPA requires covered companies to provide certain disclosures to California residents and provide such residents with new data protection and privacy rights, including the ability to opt-out of certain sales of personal information. The amendments introduced by the California Privacy Rights Act (CPRA) significantly modified the CCPA by expanding residents’ rights with respect to certain personal information and created a new state agency to oversee implementation and enforcement efforts, among other changes. The CCPA provides for civil penalties for violations, as well as a private right of action for certain data breaches. This private right of action may increase the likelihood of, and risks associated with, data breach litigation, including class action litigation.</w:t>
      </w:r>
    </w:p>
    <w:p>
      <w:pPr>
        <w:spacing w:after="0" w:line="149"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Similar laws have been passed in numerous other states and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In addition, laws in all 50 U.S. states require businesses to provide notice to individuals if certain of their personal information has been disclosed as a result of a qualifying data breach. There are also states that are specifically regulating health information. For example, Washington’s My Health My Data Act. The My Health My Data Act imposes new state restrictions and requirements on the processing and sale of consumer health data and creates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w:t>
      </w:r>
    </w:p>
    <w:p>
      <w:pPr>
        <w:spacing w:after="0" w:line="152"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Moreover, U.S. regulators and legislators are increasingly scrutinizing and restricting certain personal data transfers and transactions involving foreign countries. For example, the Department of Justice's April 8, 2025 Final Rule on "Preventing Access to Americans’ Bulk Sensitive Personal Data and United States Government-Related Data by Countries of Concern"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146"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Internationally, laws, regulations and standards in many jurisdictions apply broadly to the collection, use, retention, security, disclosure, transfer, marketing or other processing of personal data. For example, the collection, use, storage, disclosure, transfer, or other processing of personal data regarding individuals in the European Economic Area (EEA), including personal health data, is subject to the EU General Data Protection Regulation 2016/679 (EU GDPR), and with regards individuals based in the UK, the EU GDPR in such form as incorporated into the laws of the UK (UK GDPR, together with EU GDPR referred to as “GDPR”) which became effective on May 25, 2018. The GDPR is wide-ranging in scope and imposes numerous requirements on companies that process personal data, including requirements relating to having a legal basis or condition for processing personal data, stricter requirements relating to the processing of sensitive data (such as health data), where required by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requirements to conduct data protection impact assessments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60" w:name="page61"/>
    <w:bookmarkEnd w:id="60"/>
    <w:p>
      <w:pPr>
        <w:jc w:val="both"/>
        <w:ind w:left="640" w:right="659"/>
        <w:spacing w:after="0" w:line="260" w:lineRule="auto"/>
        <w:rPr>
          <w:sz w:val="20"/>
          <w:szCs w:val="20"/>
          <w:color w:val="auto"/>
        </w:rPr>
      </w:pPr>
      <w:r>
        <w:rPr>
          <w:rFonts w:ascii="Times New Roman" w:cs="Times New Roman" w:eastAsia="Times New Roman" w:hAnsi="Times New Roman"/>
          <w:sz w:val="14"/>
          <w:szCs w:val="14"/>
          <w:color w:val="auto"/>
        </w:rPr>
        <w:t>for high risk processing and taking certain measures when engaging third-party processors. The GDPR permits data protection authorities to impose large penalties for violations of the GDPR, including potential fines of up to €20 million (£17.5 million in UK)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49"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GDPR provides that EEA Member States may make their own further laws and regulations in relation to the processing of genetic, biometric or health data, which could result in differences between EEA Member States, limit our ability to use and share personal data or could cause our costs to increase, and harm our business and financial condition.</w:t>
      </w:r>
    </w:p>
    <w:p>
      <w:pPr>
        <w:spacing w:after="0" w:line="136"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Significantly, the GDPR imposes strict rules on the transfer of personal data out of the EEA and UK to other regions outside the EEA/UK, or third countries, that have not been deemed to offer “adequate” privacy protections by the competent data protection authorities, including the U.S. in certain circumstances, unless a derogation exists or adequate international transfer safeguards are put in place, such as, for example, the European Commission approved Standard Contractual Clauses (the EU SCCs) and the UK International Data Transfer Agreement/Addendum (the UK IDTA). Where relying on the EU SCCs or UK IDTA for data transfers, we may also be required to carry out transfer impact assessments on the transfers made pursuant to the EU SCCs and UK IDTA, on a case-by-case basis, to ensure the law in the recipient country provides “essentially equivalent” protections to safeguard the transferred personal data as provided in the EEA and UK, and may be required to adopt supplementary measures if this standard is not met. Further, the EU and the U.S. have adopted its adequacy decision for the EU-U.S. Data Privacy Framework (Framework), which entered into force on July 10, 2023. This Framework provides that the protection of personal data transferred between the EU and the U.S. is comparable to that offered in the EU. This provides a further avenue to ensuring transfers to the U.S. are carried out in line with GDPR. There has been an extension to the Framework to cover UK transfers to the U.S. The Framework could be challenged like its predecessor frameworks. The international transfer obligations under the EEA and UK data protection regimes will require significant effort and cost and may result in us needing to make strategic considerations around where EEA and UK personal data is located and which service providers we can utilize for the processing of EEA and UK personal data. Any inability to transfer personal data from the EEA to the U.S. in compliance with data protection laws may impede our ability to conduct trials and may adversely affect our business and financial position.</w:t>
      </w:r>
    </w:p>
    <w:p>
      <w:pPr>
        <w:spacing w:after="0" w:line="324"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 xml:space="preserve">Although the UK is regarded as one of the third countries under the EU GDPR, the European Commission has adopted an adequacy decision in favor of the UK, enabling data transfers from EEA member states to the UK without additional safeguards. In December 2025, the European Commission adopted a decision to extend the validity of the UK adequacy decision for six years until December 2031, determining that the UK continues to offer a level of data protection that is “essentially equivalent” to the EU standards. This follows the UK’s adoption of the Data (Use and Access) Act 2025 on June 19, 2025. The Data (Use and Access) Act 2025 may have the effect of further altering the similarities between the UK and EEA data protection regime. </w:t>
      </w:r>
      <w:r>
        <w:rPr>
          <w:rFonts w:ascii="Times New Roman" w:cs="Times New Roman" w:eastAsia="Times New Roman" w:hAnsi="Times New Roman"/>
          <w:sz w:val="12"/>
          <w:szCs w:val="12"/>
          <w:color w:val="auto"/>
        </w:rPr>
        <w:t>T</w:t>
      </w:r>
      <w:r>
        <w:rPr>
          <w:rFonts w:ascii="Times New Roman" w:cs="Times New Roman" w:eastAsia="Times New Roman" w:hAnsi="Times New Roman"/>
          <w:sz w:val="14"/>
          <w:szCs w:val="14"/>
          <w:color w:val="auto"/>
        </w:rPr>
        <w:t>he competent authorities in the EEA Member States may interpret GDPR obligations slightly differently from country to country and therefore we do not expect to operate in a uniform legal landscape in the EEA. The European Commission has also proposed reforms under the “Digital Omnibus” package, which, if adopted, may further modify EU GDPR-related requirements, including by clarifying the scope of “personal data” and the treatment of coded or de-identified data, potentially requiring further adjustments to our European privacy compliance framework.</w:t>
      </w:r>
    </w:p>
    <w:p>
      <w:pPr>
        <w:spacing w:after="0" w:line="318"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potential of the respective provisions and enforcement of the EU GDPR and UK GDPR further diverging in the future creates additional regulatory challenges and uncertainties for us.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results of operations and prospects.</w:t>
      </w:r>
    </w:p>
    <w:p>
      <w:pPr>
        <w:spacing w:after="0" w:line="228"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1" w:name="page62"/>
    <w:bookmarkEnd w:id="61"/>
    <w:p>
      <w:pPr>
        <w:jc w:val="both"/>
        <w:ind w:left="640" w:right="659"/>
        <w:spacing w:after="0" w:line="292" w:lineRule="auto"/>
        <w:rPr>
          <w:sz w:val="20"/>
          <w:szCs w:val="20"/>
          <w:color w:val="auto"/>
        </w:rPr>
      </w:pPr>
      <w:r>
        <w:rPr>
          <w:rFonts w:ascii="Times New Roman" w:cs="Times New Roman" w:eastAsia="Times New Roman" w:hAnsi="Times New Roman"/>
          <w:sz w:val="14"/>
          <w:szCs w:val="14"/>
          <w:color w:val="auto"/>
        </w:rPr>
        <w:t>materials, we could be held liable for any resulting damages, and any liability could exceed our resources. We also could incur significant costs associated with civil or criminal fines and penalties.</w:t>
      </w:r>
    </w:p>
    <w:p>
      <w:pPr>
        <w:spacing w:after="0" w:line="12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22"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3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our product candidates obtain marketing approval. For more information, please see “Item 1. Business – Government Regulation – Coverage and Reimbursement” in our Annual Report on Form 10-K filed with the SEC on March 4, 2026.</w:t>
      </w:r>
    </w:p>
    <w:p>
      <w:pPr>
        <w:spacing w:after="0" w:line="149"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Our ability to commercialize any product candidates successfully also will depend in part on the extent to which coverage and adequate reimbursement for these products and related treatments will be available from government healthcare programs,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 candidates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319"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There may be significant delays in obtaining coverage and reimbursement for newly approved drugs, and coverage may be more limited than the purposes for which the drug is approved by the FDA or similar regulatory authorities outside of the U.S.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95" w:lineRule="exact"/>
        <w:rPr>
          <w:sz w:val="20"/>
          <w:szCs w:val="20"/>
          <w:color w:val="auto"/>
        </w:rPr>
      </w:pPr>
    </w:p>
    <w:p>
      <w:pPr>
        <w:jc w:val="both"/>
        <w:ind w:left="980" w:right="65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obtain and maintain patent protection for any product candidates we develop and for our technology, or if the scope of the patent protection obtained is not sufficiently broad, our competitors could develop and commercialize products, product candidates and technology similar or identical to ours, and our ability to successfully commercialize any product candidates we may develop, and our technology may be adversely affected.</w:t>
      </w:r>
    </w:p>
    <w:p>
      <w:pPr>
        <w:spacing w:after="0" w:line="53" w:lineRule="exact"/>
        <w:rPr>
          <w:sz w:val="20"/>
          <w:szCs w:val="20"/>
          <w:color w:val="auto"/>
        </w:rPr>
      </w:pPr>
    </w:p>
    <w:p>
      <w:pPr>
        <w:jc w:val="both"/>
        <w:ind w:left="640" w:right="659" w:firstLine="351"/>
        <w:spacing w:after="0" w:line="271" w:lineRule="auto"/>
        <w:rPr>
          <w:sz w:val="20"/>
          <w:szCs w:val="20"/>
          <w:color w:val="auto"/>
        </w:rPr>
      </w:pPr>
      <w:r>
        <w:rPr>
          <w:rFonts w:ascii="Times New Roman" w:cs="Times New Roman" w:eastAsia="Times New Roman" w:hAnsi="Times New Roman"/>
          <w:sz w:val="14"/>
          <w:szCs w:val="14"/>
          <w:color w:val="auto"/>
        </w:rPr>
        <w:t>Our success will depend in large part on our ability and the ability of our licensors and collaborators to obtain and maintain patent protection and other intellectual property and proprietary rights in the U.S. and other countries with respect to our technology and our product candidates, their respective components, formulations, combination therapies, methods used to manufacture them and methods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62" w:name="page63"/>
    <w:bookmarkEnd w:id="62"/>
    <w:p>
      <w:pPr>
        <w:jc w:val="both"/>
        <w:ind w:left="640" w:right="659"/>
        <w:spacing w:after="0" w:line="292" w:lineRule="auto"/>
        <w:rPr>
          <w:sz w:val="20"/>
          <w:szCs w:val="20"/>
          <w:color w:val="auto"/>
        </w:rPr>
      </w:pPr>
      <w:r>
        <w:rPr>
          <w:rFonts w:ascii="Times New Roman" w:cs="Times New Roman" w:eastAsia="Times New Roman" w:hAnsi="Times New Roman"/>
          <w:sz w:val="14"/>
          <w:szCs w:val="14"/>
          <w:color w:val="auto"/>
        </w:rPr>
        <w:t>of treatment and development that are important to our business, as well as our ability to operate our business without infringing, misappropriating or otherwise violating the intellectual property rights of others.</w:t>
      </w:r>
    </w:p>
    <w:p>
      <w:pPr>
        <w:spacing w:after="0" w:line="124"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Given the early stage of development of our product candidates, our patent portfolio is similarly at an early stage. If we do not obtain meaningful patent coverage for our product candidates, their respective components, formulations, combination therapies, methods used to manufacture them and methods of treatment, competitors may be able to erode or negate any competitive advantage we may have, which would likely harm our business and ability to achieve profitability. To establish our proprietary position, we have filed provisional patent applications and corresponding Patent Cooperation Treaty (PCT), national, and regional applications related to our novel product candidates that are important to our business, and we have exclusively licensed a patent family from the Brigham and Women's Hospital, Inc. (BWH); we may in the future also license or purchase issued patents or pending patent applications filed by others. U.S. provisional patent applications are not eligible to become issued patents until, among other things, we file a non-provisional patent application within 12 months of filing of one or more of our related provisional patent applications. With regard to such U.S.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If we are unable to secure or maintain patent protection with respect to our antibody technology and any proprietary products and technology we develop, our business, financial condition, results of operations, and prospects could be materially harmed.</w:t>
      </w:r>
    </w:p>
    <w:p>
      <w:pPr>
        <w:spacing w:after="0" w:line="325"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If the scope of the patent protection we or our existing and potential licensors obtain, if any, is not sufficiently broad, we may not be able to prevent others from developing and commercializing technology and products similar or identical to ours. The degree of patent protection we require to successfully compete in the marketplace may be unavailable or severely limited and may not adequately protect our business or permit us to gain or keep any competitive advantage. We cannot provide any assurances that any of our owned or exclusively licensed pending patent applications that mature into issued patents will include claims with a scope sufficient to protect our current and future product candidates or otherwise provide any competitive advantage. In addition, to the extent that we license intellectual property now or in the future, we cannot provide any assurances that those licenses will remain in force. In addition, the laws of foreign countries may not protect our rights to the same extent as the laws of the U.S. Furthermore, patents have a limited lifespan. In the U.S., if all maintenance fees are timely paid, the natural expiration of a patent is generally 20 years from its earliest U.S. non-provisional filing date. Various extensions may be available; however, the life of a patent, and the protection it affords, is limited. Even if patents covering our product candidates are obtained, once the patent life has expired for a product candidate, we may be open to competition. Given the amount of time required for the development, testing and regulatory review of new product candidates, any patents that we may obtain in the future protecting such candidates might expire before or shortly after commercialization of such candidates, if any. As a result, our owned and licensed patent portfolio may not provide us with sufficient rights to exclude others from commercializing product candidates similar or identical to ours.</w:t>
      </w:r>
    </w:p>
    <w:p>
      <w:pPr>
        <w:spacing w:after="0" w:line="153"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Even if they are unchallenged, our issued patents or pending patent applications, if issued, may not provide us with any meaningful protection or prevent competitors or other third parties from designing around our patent claims to circumvent any patents that may issue by developing similar or alternative technologies or therapeutics in a non-infringing manner. For example, a third party may develop a competitive therapy that provides benefits similar to one or more of our product candidates but that uses a formulation and/or a device that falls outside the scope of our patent claims. If any patent protection that we may obtain in the future from the patent applications we hold or pursue with respect to our product candidates is not sufficiently broad to impede such competition, our ability to successfully commercialize our product candidates could be negatively affected, which would harm our business. Similar risks apply to patents or patent applications that we have in-licensed or may in the future in-license.</w:t>
      </w:r>
    </w:p>
    <w:p>
      <w:pPr>
        <w:spacing w:after="0" w:line="146"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Patent positions of life sciences companies can be uncertain and involve complex factual and legal questions and are subject of much litigation. No consistent policy governing the scope of claims allowable in the field of binding protein therapeutics, including antibodies and T cell receptors, has emerged in the U.S. The scope of patent protection in jurisdictions outside of the U.S. is also uncertain. Changes in either the patent laws or in their interpretation in any jurisdiction that we seek patent protection may diminish our ability to protect our inventions, obtain, maintain, protect and enforce our intellectual property and other proprietary rights; and, more generally, may affect the value of our intellectual property, including the narrowing of the scope of any patents that we may obtain in the future and any that we may license.</w:t>
      </w:r>
    </w:p>
    <w:p>
      <w:pPr>
        <w:spacing w:after="0" w:line="14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patent prosecution process is complex, expensive, time-consuming and inconsistent across jurisdictions. We may not be able to file, prosecute, maintain, enforce, or license all necessary or desirable patent rights at a commercially reasonable cost or in a timely manner. In addition, we do not intend to pursue, and may not obtain, patent protection in all potentially relevant markets. It is possible that we will fail to identify important patentable aspects of our research and development efforts in time to obtain appropriate or any patent protection or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or other third party’s patent application may pose obstacles to our ability to obtain patent protection or limit the scope of the patent protection we may obtain. While we enter into non-disclosure and confidentiality agreements with parties who have access to confidential or patentable aspects of our research and development efforts, including for</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63" w:name="page64"/>
    <w:bookmarkEnd w:id="63"/>
    <w:p>
      <w:pPr>
        <w:jc w:val="both"/>
        <w:ind w:left="640" w:right="659"/>
        <w:spacing w:after="0" w:line="262" w:lineRule="auto"/>
        <w:rPr>
          <w:sz w:val="20"/>
          <w:szCs w:val="20"/>
          <w:color w:val="auto"/>
        </w:rPr>
      </w:pPr>
      <w:r>
        <w:rPr>
          <w:rFonts w:ascii="Times New Roman" w:cs="Times New Roman" w:eastAsia="Times New Roman" w:hAnsi="Times New Roman"/>
          <w:sz w:val="14"/>
          <w:szCs w:val="14"/>
          <w:color w:val="auto"/>
        </w:rPr>
        <w:t>example, our employees, corporate collaborators, external academic scientific collaborators, CROs, contract manufacturers, consultants, advisors and other third parties, any of these parties may breach the agreements and disclose such output before a patent application is filed, thereby endangering our ability to seek patent protection. In addition, publications of discoveries in the scientific and scholarly literature often lag behind the actual discoveries, and patent applications in the U.S. and other jurisdictions are typically not published until 18 months after filing, or in some cases not at all. Consequently, we cannot be certain that we or our licensors were the first to make the inventions claimed in our owned or in-licensed patent rights and patent applications or were the first to file for patent protection on the inventions claimed in our pending patent applications.</w:t>
      </w:r>
    </w:p>
    <w:p>
      <w:pPr>
        <w:spacing w:after="0" w:line="14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issuance, scope, validity, enforceability and commercial value of our and our current or future licensors’ patent rights are highly uncertain. Our and our licensors’ pending and future patent applications may not result in patents being issued that protect our technology or product candidates, in whole or in part, or which effectively exclude others from commercializing competitive technologies and product candidates. Further, the scope of the invention claimed in a patent application can be significantly reduced before the patent is issued, and this scope can be reinterpreted after issuance. Even where patent applications we currently own or that we license now or in the future issue as patents, they may not issue in a form that will provide us with adequate protection to prevent competitors or other third parties from competing with us, or otherwise provide us with a competitive advantage. Any patents that eventually issue may be challenged, narrowed or invalidated by third parties. Consequently, we do not know whether any of our product candidates will be protectable or remain protected by valid and enforceable patent rights. Our competitors or other third parties may be able to evade or circumvent our patent rights by developing new alternative technologies or products in a non-infringing manner.</w:t>
      </w:r>
    </w:p>
    <w:p>
      <w:pPr>
        <w:spacing w:after="0" w:line="318"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 xml:space="preserve">The issuance or grant of a patent is not conclusive as to its inventorship, scope, validity or enforceability, and patents we may obtain in the future may be challenged, invalidated, narrowed or held to be enforceable, including in the courts or patent offices in the U.S. and abroad, or circumvented. There may be prior art of which we are not aware that may affect the validity or enforceability of a patent claim. There also may be prior art of which we are aware, but which we do not believe affects the validity or enforceability of a claim, but which may, nonetheless, ultimately be found to affect the validity or enforceability of a claim. We may become subject to a third-party pre-issuance submission of prior art or opposition, derivation, revocation, re-examination, post-grant and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or interference proceeding and other similar proceedings challenging any patent rights we have or may obtain in the future or the patent rights of others, including based on priority of invention or other features of patentability, in the U.S. Patent and Trademark Office (USPTO) or other foreign patent office. An unfavorable determination in any such submission, proceeding or litigation could reduce the scope of, or invalidate, any patent rights we have or may obtain in the future, allow third parties to use or commercialize our technology or product candidates and compete directly with us, without payment to us (as they can now), or extinguish our ability to manufacture or commercialize product candidates without infringing third-party patent rights. Such proceedings also may result in substantial cost and require significant time from our scientists and management, even if the eventual outcome is favorable to us. In addition, there could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325"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In addition, given the amount of time required for the development, testing and regulatory review of new product candidates, any patents we have or may obtain in the future protecting such candidates might expire before or shortly after commercialization of such candidates, if any. As a result, our intellectual property may never provide us with sufficient rights to exclude others from commercializing products similar or identical to ours. Moreover, any patents or patent applications that we own or may own or in-license in the future may be co-owned with third parties. If we are unable to obtain an exclusive license to any such third-party co-owners’ interest in any such patents or patent applications, such co-owners may be able to license their rights to other third parties, including our competitors, thereby enabling our competitors to market competing products and technology. In addition, we or our licensors may need the cooperation of any such co-owners of any patents that we own or may own or in-license in the future in order to enforce such patents against third parties, and such cooperation may not be provided to us or our licensors. Any of the foregoing could have a material adverse effect on our competitive position, business, financial conditions, results of operations and prospects.</w:t>
      </w:r>
    </w:p>
    <w:p>
      <w:pPr>
        <w:spacing w:after="0" w:line="2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We could be unsuccessful in obtaining meaningful patent protection on one or more components of our platform technology.</w:t>
      </w:r>
    </w:p>
    <w:p>
      <w:pPr>
        <w:spacing w:after="0" w:line="101"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believe that an important factor in our competitive position is our screening technology platform to identify future product candidates and therapeutic targets. Our screening platform is based in part on technology processes that are (or will be) publicly disclosed in patents and patent applications owned by or licensed to us. Even if such patents and patent applications provide broad protection, it may be difficult or impossible to detect whether a competitor is practicing the proprietary methods claimed in such patents or patent applications in order to discover their own product candidates and therapeutic targets. In such cases, any existing patents, or patents that may issue from patent applications, owned by or licensed to us would not provide us protection to prevent such activity. Additionally, a competitor may also practice such methods in a jurisdiction where we have no relevant patent protection. Our competitive position could be weakened by competitors or other third parties practicing the methods claimed in these patent applications in a manner we do not detect or in jurisdictions in which we or our licensors do not obtain any relevant patent protection.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4" w:name="page65"/>
    <w:bookmarkEnd w:id="64"/>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any of our obligations under existing or future agreements pursuant to which we license intellectual property rights or technology, if the licenses are terminated or if disputes regarding these licenses arise, we could lose significant rights or technology that are material to our business and could interfere with our ability to operate our business.</w:t>
      </w:r>
    </w:p>
    <w:p>
      <w:pPr>
        <w:spacing w:after="0" w:line="48" w:lineRule="exact"/>
        <w:rPr>
          <w:sz w:val="20"/>
          <w:szCs w:val="20"/>
          <w:color w:val="auto"/>
        </w:rPr>
      </w:pPr>
    </w:p>
    <w:p>
      <w:pPr>
        <w:jc w:val="both"/>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We are a party to technology licenses, including in-license agreements with BWH and the Provincial Health Services Authority, and we may enter into additional licenses in the future. Such licenses do, and may in the future, impose commercial, contingent payment, royalty, insurance, indemnification, and other obligations on us. If we fail to comply with these obligations, our licensors may have the right to terminate the license, in which event we could lose valuable rights under our collaboration agreements and our ability to develop product candidates could be impaired. Additionally, should any such license agreement be terminated for any reason, there may be a limited number of replacement licensors, and a significant amount of time may be required to transition to a replacement licensor.</w:t>
      </w:r>
    </w:p>
    <w:p>
      <w:pPr>
        <w:spacing w:after="0" w:line="320"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Our rights to develop and commercialize our product candidates are subject in part to the terms and conditions of third-party licenses, pursuant to which we have acquired rights from the applicable licensors. Our rights with respect to such intellectual property may terminate, in whole or in part, if we fail to meet applicable requirements or milestones relating to development and commercialization. We may also lose our rights to develop and commercialize our product candidates under such agreements if we fail to pay required milestones or royalties. In the event of an early termination of our license agreements, all rights licensed and developed by us under these agreements may be extinguished, which may have an adverse effect on our business, financial condition, results of operations and prospects.</w:t>
      </w:r>
    </w:p>
    <w:p>
      <w:pPr>
        <w:spacing w:after="0" w:line="14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rely on certain of our licensors to prepare, file and prosecute patent applications and maintain patents and otherwise protect the intellectual property we license from them and may continue to do so in the future. We have limited or no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or no control over the manner in which our licensors initiate an infringement proceeding against a third-party infringer of the intellectual property rights, or defend certain of the intellectual property that is licensed to us. It is possible that any licensors’ infringement proceeding or defense activities may be less vigorous than had we conducted them ourselves.</w:t>
      </w:r>
    </w:p>
    <w:p>
      <w:pPr>
        <w:spacing w:after="0" w:line="146" w:lineRule="exact"/>
        <w:rPr>
          <w:sz w:val="20"/>
          <w:szCs w:val="20"/>
          <w:color w:val="auto"/>
        </w:rPr>
      </w:pPr>
    </w:p>
    <w:p>
      <w:pPr>
        <w:jc w:val="both"/>
        <w:ind w:left="640" w:right="639" w:firstLine="351"/>
        <w:spacing w:after="0" w:line="267" w:lineRule="auto"/>
        <w:rPr>
          <w:sz w:val="20"/>
          <w:szCs w:val="20"/>
          <w:color w:val="auto"/>
        </w:rPr>
      </w:pPr>
      <w:r>
        <w:rPr>
          <w:rFonts w:ascii="Times New Roman" w:cs="Times New Roman" w:eastAsia="Times New Roman" w:hAnsi="Times New Roman"/>
          <w:sz w:val="14"/>
          <w:szCs w:val="14"/>
          <w:color w:val="auto"/>
        </w:rPr>
        <w:t>These agreements may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315"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In addition, a third party may in the future bring claims that our performance under our license agreements, including our sponsoring of clinical trials, interferes with such third party’s rights under its agreement with one of our licensors. If any such claim were successful, it may adversely affect our rights and ability to advance our product candidates as clinical candidates or subject us to liability for monetary damages, any of which would have an adverse effect on our business, financial condition, results of operations and prospects.</w:t>
      </w:r>
    </w:p>
    <w:p>
      <w:pPr>
        <w:spacing w:after="0" w:line="224"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are currently, and expect in the future to be, party to material license or collaboration agreements, which may impose numerous obligations and restrictions on us.</w:t>
      </w:r>
    </w:p>
    <w:p>
      <w:pPr>
        <w:spacing w:after="0" w:line="3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We are currently, and expect in the future to be, party to material license or collaboration agreements. These agreements typically impose numerous obligations and restrictions on us, such as various diligence, commercialization, insurance and payment obligations, among others, in order to maintain such licenses. Any of these restrictions or obligations could delay or otherwise negatively impact a transaction that we may wish to enter into. In addition, any termination of these licenses could result in the loss of significant rights and could harm our ability to commercialize our product candidates.</w:t>
      </w:r>
    </w:p>
    <w:p>
      <w:pPr>
        <w:spacing w:after="0" w:line="142"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Licensing of intellectual property is of high importance to our business and involves complex legal, business and scientific issues. Disputes may also arise between us and our licensors regarding intellectual property subject to a license or collaboration agreement, including:</w:t>
      </w:r>
    </w:p>
    <w:p>
      <w:pPr>
        <w:spacing w:after="0" w:line="50" w:lineRule="exact"/>
        <w:rPr>
          <w:sz w:val="20"/>
          <w:szCs w:val="20"/>
          <w:color w:val="auto"/>
        </w:rPr>
      </w:pPr>
    </w:p>
    <w:p>
      <w:pPr>
        <w:ind w:left="1340" w:hanging="352"/>
        <w:spacing w:after="0"/>
        <w:tabs>
          <w:tab w:leader="none" w:pos="1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rights granted under the license or collaboration agreement and other interpretation-related issues;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the extent to which, our product candidates, technology and processes infringe on intellectual property of the licensor that is not subject to the licensing or collaboration agreement;</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sublicense patent and other intellectual property rights to third parties under collaborative development relationships;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calculation and existence of certain payment obligations under the license or collaboration agreement;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65" w:name="page66"/>
    <w:bookmarkEnd w:id="65"/>
    <w:p>
      <w:pPr>
        <w:ind w:left="1340" w:right="659" w:hanging="352"/>
        <w:spacing w:after="0" w:line="292" w:lineRule="auto"/>
        <w:tabs>
          <w:tab w:leader="none" w:pos="1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diligence obligations with respect to the use of the licensed technology in relation to our development and commercialization of our product candidates, and what activities satisfy those diligence obligations;</w:t>
      </w:r>
    </w:p>
    <w:p>
      <w:pPr>
        <w:spacing w:after="0" w:line="37" w:lineRule="exact"/>
        <w:rPr>
          <w:rFonts w:ascii="Times New Roman" w:cs="Times New Roman" w:eastAsia="Times New Roman" w:hAnsi="Times New Roman"/>
          <w:sz w:val="14"/>
          <w:szCs w:val="14"/>
          <w:color w:val="auto"/>
        </w:rPr>
      </w:pPr>
    </w:p>
    <w:p>
      <w:pPr>
        <w:ind w:left="1340" w:right="639" w:hanging="352"/>
        <w:spacing w:after="0" w:line="292" w:lineRule="auto"/>
        <w:tabs>
          <w:tab w:leader="none" w:pos="1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inventorship and ownership of inventions, know-how and other intellectual property and proprietary rights resulting from the joint creation or use of intellectual property by our licensors and us and our partners; and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priority of invention of patented technology.</w:t>
      </w:r>
    </w:p>
    <w:p>
      <w:pPr>
        <w:spacing w:after="0" w:line="183"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24" w:lineRule="exact"/>
        <w:rPr>
          <w:sz w:val="20"/>
          <w:szCs w:val="20"/>
          <w:color w:val="auto"/>
        </w:rPr>
      </w:pPr>
    </w:p>
    <w:p>
      <w:pPr>
        <w:jc w:val="both"/>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We are generally also subject to all of the same risks with respect to protection of intellectual property that we license, as we are for intellectual property that we own, and our success will depend in part on the ability of our licensors to adequately obtain, maintain, protect and enforce patent protection for our licensed intellectual property, especially with respect to patent rights which we exclusively in-license. If we or our licensors fail to adequately protect this intellectual property, our ability to commercialize products could suffer.</w:t>
      </w:r>
    </w:p>
    <w:p>
      <w:pPr>
        <w:spacing w:after="0" w:line="315"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We rely on certain of our licensors to prepare, file and prosecute patent applications and maintain patents and otherwise protect the intellectual property we license from them and may continue to do so in the future.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any licensors’ infringement proceeding or defense activities may be less vigorous than had we conducted them ourselves or may not be conducted in accordance with our best interests.</w:t>
      </w:r>
    </w:p>
    <w:p>
      <w:pPr>
        <w:spacing w:after="0" w:line="146"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Furthermore, certain of our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and product candidates in the future. For example, a portion of our intellectual property portfolio is non-exclusively licensed to us and may be used by our licensors or licensed to third parties, and such third parties may have certain enforcement rights with respect to such intellectual property. Thus, patent rights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49" w:lineRule="exact"/>
        <w:rPr>
          <w:sz w:val="20"/>
          <w:szCs w:val="20"/>
          <w:color w:val="auto"/>
        </w:rPr>
      </w:pPr>
    </w:p>
    <w:p>
      <w:pPr>
        <w:jc w:val="both"/>
        <w:ind w:left="640" w:right="659" w:firstLine="351"/>
        <w:spacing w:after="0" w:line="266" w:lineRule="auto"/>
        <w:rPr>
          <w:sz w:val="20"/>
          <w:szCs w:val="20"/>
          <w:color w:val="auto"/>
        </w:rPr>
      </w:pPr>
      <w:r>
        <w:rPr>
          <w:rFonts w:ascii="Times New Roman" w:cs="Times New Roman" w:eastAsia="Times New Roman" w:hAnsi="Times New Roman"/>
          <w:sz w:val="14"/>
          <w:szCs w:val="14"/>
          <w:color w:val="auto"/>
        </w:rPr>
        <w:t>Any of the foregoing could have a material adverse effect on our business, financial condition, results of operations and prospects.</w:t>
      </w:r>
    </w:p>
    <w:p>
      <w:pPr>
        <w:spacing w:after="0" w:line="200" w:lineRule="exact"/>
        <w:rPr>
          <w:sz w:val="20"/>
          <w:szCs w:val="20"/>
          <w:color w:val="auto"/>
        </w:rPr>
      </w:pPr>
    </w:p>
    <w:p>
      <w:pPr>
        <w:spacing w:after="0" w:line="219"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proprietary position may depend upon patents that are manufacturing, formulation or method-of-use patents, which may not prevent a competitor or other third party from using the same product candidate for another use.</w:t>
      </w:r>
    </w:p>
    <w:p>
      <w:pPr>
        <w:spacing w:after="0" w:line="34"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Composition-of-matter patents are generally considered to be the strongest form of intellectual property protection for drug products because such patents provide protection without regard to any particular method of use or manufacture or formulation of the active pharmaceutical ingredient used. We currently have a limited number of issued patents, but our pending owned U.S. and international patent applications include claims directed to certain compositions-of-matter and certain methods of use of our product candidates. We cannot be certain that claims in any issued patent, or patent that may issue from our pending owned or in-licensed patent applications, will cover the composition-of-matter of any of our current or future product candidates. If we are unsuccessful in obtaining issued patents that cover the composition-of-matter of any of our current or future product candidates, competitors may be able to erode or negate any competitive advantage we may have and our business, financial condition, results of operations and prospects could be materially harmed.</w:t>
      </w:r>
    </w:p>
    <w:p>
      <w:pPr>
        <w:spacing w:after="0" w:line="231"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efforts to protect the proprietary nature of the intellectual property related to our technologies are not adequate, we may not be able to compete effectively in our market.</w:t>
      </w:r>
    </w:p>
    <w:p>
      <w:pPr>
        <w:spacing w:after="0" w:line="34" w:lineRule="exact"/>
        <w:rPr>
          <w:sz w:val="20"/>
          <w:szCs w:val="20"/>
          <w:color w:val="auto"/>
        </w:rPr>
      </w:pPr>
    </w:p>
    <w:p>
      <w:pPr>
        <w:jc w:val="both"/>
        <w:ind w:left="640" w:right="639" w:firstLine="351"/>
        <w:spacing w:after="0" w:line="263" w:lineRule="auto"/>
        <w:rPr>
          <w:sz w:val="20"/>
          <w:szCs w:val="20"/>
          <w:color w:val="auto"/>
        </w:rPr>
      </w:pPr>
      <w:r>
        <w:rPr>
          <w:rFonts w:ascii="Times New Roman" w:cs="Times New Roman" w:eastAsia="Times New Roman" w:hAnsi="Times New Roman"/>
          <w:sz w:val="14"/>
          <w:szCs w:val="14"/>
          <w:color w:val="auto"/>
        </w:rPr>
        <w:t>Biotechnology and pharmaceutical companies generally, and we in particular, compete in a crowded competitive space characterized by rapidly evolving technologies and aggressive defense of intellectual property. 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66" w:name="page67"/>
    <w:bookmarkEnd w:id="66"/>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rely upon a combination of patent rights, confidentiality agreements, trade secret protection and license agreements to protect the intellectual property related to our technologies. Any disclosure to or misappropriation by third parties of our confidential proprietary information could enable competitors or other third parties to quickly duplicate or surpass our technological achievements, thus eroding our competitive position in our market. We, or any partners, collaborators, licensees or licensors may fail to identify patentable aspects of inventions made in the course of development and commercialization activities before it is too late to obtain patent protection on them. Therefore, we may miss potential opportunities to strengthen our patent position.</w:t>
      </w:r>
    </w:p>
    <w:p>
      <w:pPr>
        <w:spacing w:after="0" w:line="14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It is possible that defects of form in the preparation or filing of our patent applications may exist, or may arise in the future, for example with respect to proper priority claims, inventorship, claim scope, or requests for patent term adjustments. If we or any partners, collaborators, licensees or licensors fail to establish, maintain or protect such patent rights and other intellectual property rights, such rights may be reduced or eliminated. If any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 applications, any patents that may issue from such patent applications may be invalid and/or unenforceable, and such applications may never result in valid, enforceable patents. Any of these outcomes could impair our ability to prevent competition from third parties, which may have an adverse impact on our business, financial condition, results of operations and prospects.</w:t>
      </w:r>
    </w:p>
    <w:p>
      <w:pPr>
        <w:spacing w:after="0" w:line="149"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Currently, our patents and patent applications are directed to our TCR-T therapy product candidates and accompanying technologies. We seek or plan to seek patent protection for our proprietary platform and product candidates by filing and prosecuting patent applications in the U.S. and other countries as appropriate. Our patent portfolio also includes patent families exclusively licensed from BWH, which include issued and pending U.S. and foreign non-provisional patent applications. Any patents that have issued or may issue from any non-provisional patent applications claiming priority to these provisional patent applications would be expected to expire on various dates from 2038 through 2047, in each case without taking into account any possible patent term adjustments or extensions.</w:t>
      </w:r>
    </w:p>
    <w:p>
      <w:pPr>
        <w:spacing w:after="0" w:line="320"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We anticipate additional patent applications will be filed both in the U.S. and in other countries, as appropriate. However, we cannot predict:</w:t>
      </w:r>
    </w:p>
    <w:p>
      <w:pPr>
        <w:spacing w:after="0" w:line="38" w:lineRule="exact"/>
        <w:rPr>
          <w:sz w:val="20"/>
          <w:szCs w:val="20"/>
          <w:color w:val="auto"/>
        </w:rPr>
      </w:pPr>
    </w:p>
    <w:p>
      <w:pPr>
        <w:ind w:left="1340" w:hanging="352"/>
        <w:spacing w:after="0"/>
        <w:tabs>
          <w:tab w:leader="none" w:pos="1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when any patents will issue;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and range of protection that any patents that may issue will afford us against competitors;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our intellectual property will provide any competitive advantage;</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patents that may issue may be challenged, invalidated, modified, revoked, circumvented or found to be unenforceable;</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others will obtain patents claiming inventions similar to those covered by our patent applications; or</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need to initiate or defend litigation or administrative proceedings, which may be costly regardless of whether we win or lose.</w:t>
      </w:r>
    </w:p>
    <w:p>
      <w:pPr>
        <w:spacing w:after="0" w:line="124"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Additionally, we cannot be certain that the claims in our pending patent applications covering the composition of matter of our product candidates will be considered patentable by the USPTO or patent offices in foreign countries.</w:t>
      </w:r>
    </w:p>
    <w:p>
      <w:pPr>
        <w:spacing w:after="0" w:line="124"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Method-of-use patents protect the use of a product for the specified method. If we obtain any of these types of patents, they would not prevent a competitor from making and marketing a product that is identical to one of our product candidates for an indication that is outside the scope of the patented method. Moreover, even if competitors do not actively promote their product for our targeted indications, physicians may prescribe these products “off-label.” Although off-label prescriptions may induce or contribute to the infringement of method-of-use patents, the practice is common, and such infringement is difficult to prevent or prosecute.</w:t>
      </w:r>
    </w:p>
    <w:p>
      <w:pPr>
        <w:spacing w:after="0" w:line="317"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U.S. or in other foreign countries. Even if the patents do successfully issue, third parties may challenge the validity, enforceability or scope thereof, which may result in such patents being narrowed, invalidated or held unenforceable.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U.S. and most other countries are confidential for a period of time after filing, we cannot be certain that we were the first to file any patent application related to our product candidates. Various post-grant review proceedings, such as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and post-grant review, are available for any interested third party to challenge the patentability of claims in any patents issued to us or our licensors. While these post-grant review proceedings have been used less frequently to invalidate biotech patents, they have been successful regarding other technologies, and these relatively new procedures are</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7" w:name="page68"/>
    <w:bookmarkEnd w:id="67"/>
    <w:p>
      <w:pPr>
        <w:jc w:val="both"/>
        <w:ind w:left="640" w:right="639"/>
        <w:spacing w:after="0" w:line="261" w:lineRule="auto"/>
        <w:rPr>
          <w:sz w:val="20"/>
          <w:szCs w:val="20"/>
          <w:color w:val="auto"/>
        </w:rPr>
      </w:pPr>
      <w:r>
        <w:rPr>
          <w:rFonts w:ascii="Times New Roman" w:cs="Times New Roman" w:eastAsia="Times New Roman" w:hAnsi="Times New Roman"/>
          <w:sz w:val="14"/>
          <w:szCs w:val="14"/>
          <w:color w:val="auto"/>
        </w:rPr>
        <w:t>still changing, and those changes might affect future results. No assurance can be given that, if challenged, any patents that we or our licensors may obtain would be declared by a court to be valid or enforceable or that, even if found valid and enforceable, a competitor’s technology or product would be found by a court to infringe any such patent. We may analyze patents or patent applications of our competitors that we believe are relevant and conclude that our activities do not infringe any valid claims of those patents or patent applications, but our conclusions may be erroneous or our competitors may obtain patents with issued claims, including in patents we consider to be unrelated, that block our efforts or that our product candidates or our activities infringe. Others may independently develop products that have the same effect as our product candidates without infringing any patents we may obtain or any of our other intellectual property rights, or they may design around the claims of any patents that we may obtain.</w:t>
      </w:r>
    </w:p>
    <w:p>
      <w:pPr>
        <w:spacing w:after="0" w:line="146"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Recent and future patent reform legislation could increase the uncertainties and costs surrounding the prosecution of our patent applications and the enforcement or defense of any patents we may obtain. In March 2013, under the Leahy-Smith America Invents Act (America Invents Act) the U.S.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included a number of other significant changes to U.S. patent law, including provisions that have affected the way patent applications are prosecuted, redefined prior art and established a new post-grant review system. The effects of these changes are still unclear as the USPTO only recently developed new regulations and procedures in connection with the America Invents Act, and many of the substantive changes to patent law, including the “first-to-file” provisions, only became effective in March 2013. Moreover, the courts have yet to address many of these provisions. Overall, the America Invents Act and its implementation have increased the uncertainties and costs surrounding the prosecution of our patent applications and any enforcement or defense of any patents that we may obtain, which could have a material adverse effect on our business and financial condition.</w:t>
      </w:r>
    </w:p>
    <w:p>
      <w:pPr>
        <w:spacing w:after="0" w:line="149"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38" w:lineRule="exact"/>
        <w:rPr>
          <w:sz w:val="20"/>
          <w:szCs w:val="20"/>
          <w:color w:val="auto"/>
        </w:rPr>
      </w:pPr>
    </w:p>
    <w:p>
      <w:pPr>
        <w:ind w:left="1340" w:right="659" w:hanging="352"/>
        <w:spacing w:after="0" w:line="292" w:lineRule="auto"/>
        <w:tabs>
          <w:tab w:leader="none" w:pos="1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make or use compounds or cells that are similar to the biological compositions of our product candidates but that are not covered by the claims of any patents that we may obtain;</w:t>
      </w:r>
    </w:p>
    <w:p>
      <w:pPr>
        <w:spacing w:after="0" w:line="37" w:lineRule="exact"/>
        <w:rPr>
          <w:rFonts w:ascii="Times New Roman" w:cs="Times New Roman" w:eastAsia="Times New Roman" w:hAnsi="Times New Roman"/>
          <w:sz w:val="14"/>
          <w:szCs w:val="14"/>
          <w:color w:val="auto"/>
        </w:rPr>
      </w:pPr>
    </w:p>
    <w:p>
      <w:pPr>
        <w:ind w:left="1340" w:right="639" w:hanging="352"/>
        <w:spacing w:after="0" w:line="292" w:lineRule="auto"/>
        <w:tabs>
          <w:tab w:leader="none" w:pos="1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active biological ingredients in our current product candidates may eventually become commercially available in biosimilar drug products, and no patent protection may be available with regard to formulation or method of use;</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licensors, as the case may be, might not have been the first to file patent applications for these inventions;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prior public disclosures that could invalidate any patents that we or our licensors may obtain;</w:t>
      </w:r>
    </w:p>
    <w:p>
      <w:pPr>
        <w:spacing w:after="0" w:line="96"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inventors of our owned or in-licensed patent applications may become involved with competitors, develop products or processes that design around any patents that we may obtain, or become adverse to us or patent applications on which they are named as inventors;</w:t>
      </w:r>
    </w:p>
    <w:p>
      <w:pPr>
        <w:spacing w:after="0" w:line="50"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owned or in-licensed patent applications omit individual(s) that should be listed as inventor(s) or include individual(s) that should not be listed as inventor(s), which may cause any patents that may issue from these patent applications to be held invalid or unenforceable;</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engaged and may continue to engage in scientific collaborations, and such collaborators may develop adjacent or competing products to ours that are outside the scope of any patents that we may obtain;</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proprietary technologies for which we can obtain patent protection;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candidates or diagnostic tests we develop may be covered by third parties’ patents or other exclusive rights; or</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patents of others may have an adverse effect on our business.</w:t>
      </w:r>
    </w:p>
    <w:p>
      <w:pPr>
        <w:spacing w:after="0" w:line="2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our business and competitive position would be harmed.</w:t>
      </w:r>
    </w:p>
    <w:p>
      <w:pPr>
        <w:spacing w:after="0" w:line="101"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In addition to the protection afforded by any patent rights we may obtain, we seek to rely on trade secret protection, confidentiality agreements, and license agreements to protect our proprietary know-how, information, technology and other proprietary information that is not patentable, processes for which patents are difficult to enforce and any other elements of our product discovery and development processes that involve proprietary know-how, information, or technology that we have not sought to protect through patent applications. For example, significant elements of our product candidates, including aspects of sample preparation, methods of manufacturing, cell culturing conditions, computational-biological algorithms, and related processes and software, are based on unpatented trade secrets that are not publicly disclosed. It is our policy to require our employees, consultants, outside scientific collaborators, sponsored researchers and other advisors to execute confidentiality agreements upon the commencement of employment or consulting relationships with us. These agreements generally provide that all confidential information concerning our business or financial affairs developed or made known to the individual or entity during the course of the party’s relationship with us is to be kept</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8" w:name="page69"/>
    <w:bookmarkEnd w:id="68"/>
    <w:p>
      <w:pPr>
        <w:jc w:val="both"/>
        <w:ind w:left="640" w:right="659"/>
        <w:spacing w:after="0" w:line="258" w:lineRule="auto"/>
        <w:rPr>
          <w:sz w:val="20"/>
          <w:szCs w:val="20"/>
          <w:color w:val="auto"/>
        </w:rPr>
      </w:pPr>
      <w:r>
        <w:rPr>
          <w:rFonts w:ascii="Times New Roman" w:cs="Times New Roman" w:eastAsia="Times New Roman" w:hAnsi="Times New Roman"/>
          <w:sz w:val="14"/>
          <w:szCs w:val="14"/>
          <w:color w:val="auto"/>
        </w:rPr>
        <w:t>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Despite these measures,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U.S. Courts outside the U.S. are sometimes less willing to protect trade secrets. As a result, we may encounter significant problems in protecting and defending our intellectual property both in the U.S. and abroad. If we choose to go to court to stop a third party from using any of our trade secrets, we may incur substantial costs. These lawsuits may consume our time and other resources even if we are successful. If we are unable to prevent unauthorized disclosure of our material intellectual property to third parties, we will not be able to establish or maintain a competitive advantage in our market, which could materially adversely affect our business, operating results and financial condition. For more information, see “Risks Related to Our Intellectual Property – We have limited foreign intellectual property rights and may not be able to protect our intellectual property rights throughout the world.”</w:t>
      </w:r>
    </w:p>
    <w:p>
      <w:pPr>
        <w:spacing w:after="0" w:line="235"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Third-party claims of intellectual property infringement, misappropriation or other violations may prevent or delay our product candidate discovery and development efforts.</w:t>
      </w:r>
    </w:p>
    <w:p>
      <w:pPr>
        <w:spacing w:after="0" w:line="34" w:lineRule="exact"/>
        <w:rPr>
          <w:sz w:val="20"/>
          <w:szCs w:val="20"/>
          <w:color w:val="auto"/>
        </w:rPr>
      </w:pPr>
    </w:p>
    <w:p>
      <w:pPr>
        <w:jc w:val="both"/>
        <w:ind w:left="640" w:right="639" w:firstLine="351"/>
        <w:spacing w:after="0" w:line="260" w:lineRule="auto"/>
        <w:rPr>
          <w:sz w:val="20"/>
          <w:szCs w:val="20"/>
          <w:color w:val="auto"/>
        </w:rPr>
      </w:pPr>
      <w:r>
        <w:rPr>
          <w:rFonts w:ascii="Times New Roman" w:cs="Times New Roman" w:eastAsia="Times New Roman" w:hAnsi="Times New Roman"/>
          <w:sz w:val="14"/>
          <w:szCs w:val="14"/>
          <w:color w:val="auto"/>
        </w:rPr>
        <w:t>Our commercial success depends in part on our avoiding infringement, misappropriation or other violation of the patents and proprietary rights of third parties. There is a substantial amount of litigation involving patents and other intellectual property rights in the biotechnology and pharmaceutical industries. We may be exposed to, or threatened with, future litigation by third parties having patent or other intellectual property rights alleging that our product candidates and/or technologies infringe their intellectual property rights. Numerous U.S. and foreign issued patents and pending patent applications, which are owned by third parties, exist in the fields in which we are developing our product candidates or identifying potential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Because of the large number of patents and patent applications in our fields, there is a risk that third parties may allege that they have patent rights encompassing our product candidates, technologies or methods.</w:t>
      </w:r>
    </w:p>
    <w:p>
      <w:pPr>
        <w:spacing w:after="0" w:line="318"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If a third party claims that we infringe, misappropriate or otherwise violate its intellectual property rights, we may face a number of issues, including, but not limited to:</w:t>
      </w:r>
    </w:p>
    <w:p>
      <w:pPr>
        <w:spacing w:after="0" w:line="38" w:lineRule="exact"/>
        <w:rPr>
          <w:sz w:val="20"/>
          <w:szCs w:val="20"/>
          <w:color w:val="auto"/>
        </w:rPr>
      </w:pPr>
    </w:p>
    <w:p>
      <w:pPr>
        <w:ind w:left="1340" w:right="659" w:hanging="352"/>
        <w:spacing w:after="0" w:line="292" w:lineRule="auto"/>
        <w:tabs>
          <w:tab w:leader="none" w:pos="1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infringement, misappropriation and other violation of intellectual property claims which, regardless of merit, may be expensive and time-consuming to litigate and may divert our management’s attention from our core business;</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68" w:lineRule="auto"/>
        <w:tabs>
          <w:tab w:leader="none" w:pos="1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damages for infringement, misappropriation or other violation which we may have to pay if a court decides that the product candidate or technology at issue infringes on, misappropriates or otherwise violates the third party’s rights, and, if the court finds that the infringement was willful, we could be ordered to pay treble damages and the patent owner’s attorneys’ fees;</w:t>
      </w:r>
    </w:p>
    <w:p>
      <w:pPr>
        <w:spacing w:after="0" w:line="54"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prohibiting us from developing, manufacturing, marketing or selling our product candidates, or from using our proprietary technologies, unless the third party licenses its product rights to us, which it is not required to do;</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85" w:lineRule="auto"/>
        <w:tabs>
          <w:tab w:leader="none" w:pos="1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license is available from a third party, we may have to pay substantial royalties, upfront fees and other amounts, and/or grant cross-licenses to intellectual property rights for our product candidates or using our proprietary technologies; and</w:t>
      </w:r>
    </w:p>
    <w:p>
      <w:pPr>
        <w:spacing w:after="0" w:line="219"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redesigning our product candidates or processes so they do not infringe third-party intellectual property rights, which may not be possible or may require substantial monetary expenditures and time.</w:t>
      </w:r>
    </w:p>
    <w:p>
      <w:pPr>
        <w:spacing w:after="0" w:line="12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Some of our competitors or other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69" w:name="page70"/>
    <w:bookmarkEnd w:id="69"/>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Third parties may assert that we are employing their proprietary technology without authorization. Generally, conducting preclinical and clinical trials and other development activities in the U.S. is not considered an act of infringement. If any of our product candidates is licensed by the FDA, a third party may then seek to enforce its patent by filing a patent infringement lawsuit against us. While we do not believe that any claims that could otherwise have a materially adverse effect on the commercialization of our product candidates, if licensed, are valid and enforceable, we may be incorrect in this belief, or we may not be able to prove it in litigation. In this regard, patents issued in the U.S. by law enjoy a presumption of validity that can be rebutted only with evidence that is “clear and convincing”, a heightened standard of proof. As a result, there is no assurance that a court of competent jurisdiction would invalidate the claims of any such U.S. patent. If any third-party patent were held by a court of competent jurisdiction to cover the manufacturing process of our product candidates, constructs or molecules used in or formed during the manufacturing process, or any final product itself, or aspects of our formulations, processes for manufacture or methods of use, including combination therapy or patient selection methods, the holder of any such patent may be able to block our ability to commercialize the product candidate unless we obtained a license under the applicable patent, or until such patent expires or it is finally determined to be held invalid or unenforceable. In any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and it could require us to make substantial licensing and royalty payments. In addition, there could be public announcements of the results of hearings, motions or other interim proceedings or developments. If securities analysts or investors perceive these results to be negative, it could have a material adverse effect on the price of our common stock. Any of the foregoing events could harm our business, financial condition, results of operations and prospects.</w:t>
      </w:r>
    </w:p>
    <w:p>
      <w:pPr>
        <w:spacing w:after="0" w:line="320"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Any of the foregoing events could harm our business, financial condition, results of operations and prospects.</w:t>
      </w:r>
    </w:p>
    <w:p>
      <w:pPr>
        <w:spacing w:after="0" w:line="233"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obtaining or maintaining necessary rights to product components and processes for our development pipeline through acquisitions and in-licenses.</w:t>
      </w:r>
    </w:p>
    <w:p>
      <w:pPr>
        <w:spacing w:after="0" w:line="3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Because additional product candidates may require the use of proprietary rights held by third parties, the growth of our business will likely depend in part on our ability to acquire, in-license or use these proprietary rights. In addition, while we have certain patent rights directed to certain TCR constructs, we may not be able to obtain intellectual property to broad T cell or TCR constructs.</w:t>
      </w:r>
    </w:p>
    <w:p>
      <w:pPr>
        <w:spacing w:after="0" w:line="136"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Our product candidates may also require specific formulations to work effectively and efficiently and rights to these formulations may be held by others. Similarly, efficient production or delivery of our product candidates may also require specific compositions or methods, and the rights to these may be owned by third parties. We may be unable to acquire or in-license any formulations, compositions, methods of use, processes or other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Moreover, the specific antibodies that will be used with our product candidates may be covered by the intellectual property rights of others.</w:t>
      </w:r>
    </w:p>
    <w:p>
      <w:pPr>
        <w:spacing w:after="0" w:line="323"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Additionally, we may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0" w:name="page71"/>
    <w:bookmarkEnd w:id="70"/>
    <w:p>
      <w:pPr>
        <w:jc w:val="both"/>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spacing w:after="0" w:line="224" w:lineRule="exact"/>
        <w:rPr>
          <w:sz w:val="20"/>
          <w:szCs w:val="20"/>
          <w:color w:val="auto"/>
        </w:rPr>
      </w:pPr>
    </w:p>
    <w:p>
      <w:pPr>
        <w:jc w:val="both"/>
        <w:ind w:left="980" w:right="65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We may eventually become involved in lawsuits to protect or enforce our intellectual property and proprietary rights, including any patents that we or our licensors may obtain in the future, which could be expensive, time-consuming and unsuccessful.</w:t>
      </w:r>
    </w:p>
    <w:p>
      <w:pPr>
        <w:spacing w:after="0" w:line="218" w:lineRule="exact"/>
        <w:rPr>
          <w:sz w:val="20"/>
          <w:szCs w:val="20"/>
          <w:color w:val="auto"/>
        </w:rPr>
      </w:pPr>
    </w:p>
    <w:p>
      <w:pPr>
        <w:jc w:val="both"/>
        <w:ind w:left="640" w:right="639" w:firstLine="351"/>
        <w:spacing w:after="0" w:line="259" w:lineRule="auto"/>
        <w:rPr>
          <w:sz w:val="20"/>
          <w:szCs w:val="20"/>
          <w:color w:val="auto"/>
        </w:rPr>
      </w:pPr>
      <w:r>
        <w:rPr>
          <w:rFonts w:ascii="Times New Roman" w:cs="Times New Roman" w:eastAsia="Times New Roman" w:hAnsi="Times New Roman"/>
          <w:sz w:val="14"/>
          <w:szCs w:val="14"/>
          <w:color w:val="auto"/>
        </w:rPr>
        <w:t>In the future, competitors or other third parties may infringe any patents that we or our licensors may obtain. To counter any such future infringement or unauthorized use, we may eventually be required to file infringement claims, which can be expensive and time-consuming. Any claims we assert against perceived infringers could provoke these parties to assert counterclaims against us alleging that we infringe their patents or that our licensors’ patents are invalid or unenforceable. In addition, in a patent infringement proceeding, a court may decide that one or more patents that we may obtain in the future is not valid or is unenforceable, in whole or in part, construe the patent’s claims narrowly or may refuse to stop the other party from using the technology at issue on the grounds that such patents, if any, do not cover the technology in question. An adverse result in any litigation or defense proceedings could put one or more of such patents, if any, at risk of being invalidated, held unenforceable, or interpreted narrowly and could put our patent applications at risk of not issuing. Asserting any patent rights we may obtain in the future, and defending challenges to our rights, regardless of their merit, would involve substantial litigation expense and would be a substantial diversion of employee resources from our business and we may find it impractical or undesirable to enforce our intellectual property against some third parties.</w:t>
      </w:r>
    </w:p>
    <w:p>
      <w:pPr>
        <w:spacing w:after="0" w:line="151"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Post-grant, interference or derivation proceedings provoked by third parties or brought by us or declared by the USPTO may be necessary to determine the validity or priority of inventions with respect to our or our licensors’ patent applications or any patents that may issue therefrom. An unfavorable outcome could result in a loss of any patent rights we may have. Furthermore, because of the substantial amount of discovery required in connection with intellectual property litigation, there is a risk that some of our confidential information could be compromised by disclosure during this type of litigation or proceeding. In addition, there could be public announcements of the results of hearings, motions or other interim proceedings or developments. If securities analysts or investors perceive these results to be negative, it could have a material adverse effect on the price of our common stock. Any of the foregoing events could harm our business, financial condition, results of operations and prospects.</w:t>
      </w:r>
    </w:p>
    <w:p>
      <w:pPr>
        <w:spacing w:after="0" w:line="228"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procedures, document submission, fee payments and other requirements imposed by governmental patent agencies, and our patent protection could be reduced or eliminated for non-compliance with these requirements.</w:t>
      </w:r>
    </w:p>
    <w:p>
      <w:pPr>
        <w:spacing w:after="0" w:line="48"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Some of our patent applications may be allowed in the future. We cannot be certain that an allowed patent application will become an issued patent. There may be events that cause withdrawal of the allowance of a patent application. For example, after a patent application has been allowed, but prior to being issued, material that could be relevant to patentability may be identified. In such circumstances, the applicant may pull the application from allowance in order for the USPTO or foreign patent agency to review the application in view of the new material. In that circumstance, the USPTO or the other agency may not re-allow an application in view of the new material. Further, periodic maintenance fees, renewal fees, annuity fees and various other governmental fees on patents and/or patent applications will be due to be paid to the USPTO and foreign patent agencies at several stages over the lifetime of the patents and/or patent applications. The USPTO and various foreign governmental patent agencies also require compliance with a number of procedural, documentary and other similar provisions during the patent application process and following the issuance of a patent. We also may be dependent on our licensors to take the necessary action to comply with these requirements with respect to our licensed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and other third parties might be able to enter the market without infringing our or our licensors’ patents and patent applications, which could have a material adverse effect on our business, financial condition, results of operations and prospects.</w:t>
      </w:r>
    </w:p>
    <w:p>
      <w:pPr>
        <w:spacing w:after="0" w:line="233"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obtain any patents covering our product candidates, they could nonetheless be found invalid or unenforceable if challenged in court or the USPTO.</w:t>
      </w:r>
    </w:p>
    <w:p>
      <w:pPr>
        <w:spacing w:after="0" w:line="34" w:lineRule="exact"/>
        <w:rPr>
          <w:sz w:val="20"/>
          <w:szCs w:val="20"/>
          <w:color w:val="auto"/>
        </w:rPr>
      </w:pPr>
    </w:p>
    <w:p>
      <w:pPr>
        <w:jc w:val="both"/>
        <w:ind w:left="640" w:right="659" w:firstLine="351"/>
        <w:spacing w:after="0" w:line="267" w:lineRule="auto"/>
        <w:rPr>
          <w:sz w:val="20"/>
          <w:szCs w:val="20"/>
          <w:color w:val="auto"/>
        </w:rPr>
      </w:pPr>
      <w:r>
        <w:rPr>
          <w:rFonts w:ascii="Times New Roman" w:cs="Times New Roman" w:eastAsia="Times New Roman" w:hAnsi="Times New Roman"/>
          <w:sz w:val="14"/>
          <w:szCs w:val="14"/>
          <w:color w:val="auto"/>
        </w:rPr>
        <w:t xml:space="preserve">The issuance of a patent is not conclusive as to its inventorship, scope, validity or enforceability. Our owned or in-licensed patents, and any of our owned or in-licensed patent applications that may issue in the future, may be challenged at the USPTO or foreign patent offices in re-examination,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post-grant review and equivalent proceedings in foreign jurisdictions (such as opposition proceedings). Such proceedings could result in the revocation of or amendment to such patents in such a way that they no longer cover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1" w:name="page72"/>
    <w:bookmarkEnd w:id="71"/>
    <w:p>
      <w:pPr>
        <w:jc w:val="both"/>
        <w:ind w:left="640" w:right="659"/>
        <w:spacing w:after="0" w:line="258" w:lineRule="auto"/>
        <w:rPr>
          <w:sz w:val="20"/>
          <w:szCs w:val="20"/>
          <w:color w:val="auto"/>
        </w:rPr>
      </w:pPr>
      <w:r>
        <w:rPr>
          <w:rFonts w:ascii="Times New Roman" w:cs="Times New Roman" w:eastAsia="Times New Roman" w:hAnsi="Times New Roman"/>
          <w:sz w:val="14"/>
          <w:szCs w:val="14"/>
          <w:color w:val="auto"/>
        </w:rPr>
        <w:t xml:space="preserve">our product candidates or technologies. If we or one of our licensing partners initiates legal proceedings against a third party to enforce a patent that we may obtain in the future covering one of our product candidates, the defendant could counterclaim that such patent is invalid and/or unenforceable. In patent litigation in the U.S.,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post-grant review and equivalent proceedings in foreign jurisdictions (such as opposition proceedings). Such proceedings could result in revocation or amendment to any patents we may obtain in the future in such a way that they would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any patent protection we may eventually obtain on our product candidates and technologies. Such a loss of patent protection could have a material adverse impact on our business, financial condition, results of operations and prospects and our ability to commercialize or license our technology and product candidates.</w:t>
      </w:r>
    </w:p>
    <w:p>
      <w:pPr>
        <w:spacing w:after="0" w:line="233"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Changes to patent law and its interpretation in the U.S. and in foreign jurisdictions could diminish the value of patents in general and may impact the validity, scope or enforceability of our patent rights, thereby impairing our ability to protect our product candidates and technologies.</w:t>
      </w:r>
    </w:p>
    <w:p>
      <w:pPr>
        <w:spacing w:after="0" w:line="48"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 xml:space="preserve">As is the case with other biotechnology companies, our success is heavily dependent on intellectual property, particularly any patents that may issue from our pending patent applications. Changes in either the patent laws or in their interpretation in any jurisdiction that we seek patent protection may diminish our ability to protect our inventions, obtain, maintain and enforce our intellectual property and proprietary rights and, more generally, may affect the value of our intellectual property and proprietary rights. The U.S. continues to adapt to wide-ranging patent reform legislation that became effective starting in 2012. Moreover, various courts, including the U.S. Supreme Court, have rendered decisions that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patents that we might obtain in the future. For example, in the case </w:t>
      </w:r>
      <w:r>
        <w:rPr>
          <w:rFonts w:ascii="Times New Roman" w:cs="Times New Roman" w:eastAsia="Times New Roman" w:hAnsi="Times New Roman"/>
          <w:sz w:val="14"/>
          <w:szCs w:val="14"/>
          <w:i w:val="1"/>
          <w:iCs w:val="1"/>
          <w:color w:val="auto"/>
        </w:rPr>
        <w:t>Assoc. for Molecular Pathology v. Myriad Genetics, Inc.,</w:t>
      </w:r>
      <w:r>
        <w:rPr>
          <w:rFonts w:ascii="Times New Roman" w:cs="Times New Roman" w:eastAsia="Times New Roman" w:hAnsi="Times New Roman"/>
          <w:sz w:val="14"/>
          <w:szCs w:val="14"/>
          <w:color w:val="auto"/>
        </w:rPr>
        <w:t xml:space="preserve"> the U.S. Supreme Court held that certain claims to DNA molecules are not patentable. We cannot predict how future decisions by the courts, Congress or the USPTO may impact the value of our pending patent applications. Similarly, any adverse changes in the laws and regulations governing patents in other jurisdictions could have an adverse effect on our ability to obtain and effectively enforce our patent rights and have a material adverse effect on our business and financial condition.</w:t>
      </w:r>
    </w:p>
    <w:p>
      <w:pPr>
        <w:spacing w:after="0" w:line="235"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limited foreign intellectual property rights and may not be able to protect our intellectual property rights throughout the world.</w:t>
      </w:r>
    </w:p>
    <w:p>
      <w:pPr>
        <w:spacing w:after="0" w:line="34"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the laws in the U.S., and we may encounter difficulties in protecting and defending such rights in foreign jurisdictions. Consequently, we may not be able to prevent third parties from practicing our inventions in some or all countries outside the U.S., or from selling or importing products made using our inventions in and into the U.S. or other jurisdictions. Competitors or other third parties may use our technologies in jurisdictions where we have not obtained patent protection to develop their own products and further, may also export otherwise infringing products to territories where we have patent protection, but enforcement is not as strong as in the U.S. These products may compete with our product candidates and our patent rights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 We will need to decide whether, and in which jurisdictions, to pursue protection for the various inventions in our portfolio prior to applicable filing deadlines.</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72" w:name="page73"/>
    <w:bookmarkEnd w:id="72"/>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and biotechnology, which could make it difficult for us to stop the infringement, misappropriation or other violation of our intellectual property rights, including any infringement of any patents we may obtain in the future in such countries, or marketing of competing products in violation of our proprietary rights generally. Proceedings to enforce any patent rights in foreign jurisdictions could result in substantial costs and divert our efforts and attention from other aspects of our business, could put our patent applications at risk of not issuing, any patent rights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establish our intellectual property rights around the world may be inadequate to obtain a significant commercial advantage from the intellectual property that we develop or license.</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challenging the inventorship or ownership of our patent rights and other intellectual property.</w:t>
      </w:r>
    </w:p>
    <w:p>
      <w:pPr>
        <w:spacing w:after="0" w:line="101"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may be subject to claims that former employees, collaborators or other third parties have an interest in our intellectual property as an inventor or co-inventor. It is our policy to enter into confidentiality and intellectual property assignment agreements with our employees, consultants, and contractors. These agreements generally provide that inventions conceived by the party in the course of rendering services to us will be our exclusive property. However, such agreements may not be honored and may not effectively assign intellectual property rights to us. For instance, the assignment of intellectual property rights may not be self-executing, or the assignment agreements may be breached, and we may be forced to bring claims against current or former employees, consultants, and contractors, or defend claims that they may bring against us, to determine the ownership of what we regard as our intellectual property. Moreover, there may be circumstances where we are unable to negotiate for such ownership rights.</w:t>
      </w:r>
    </w:p>
    <w:p>
      <w:pPr>
        <w:spacing w:after="0" w:line="146"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Disputes regarding ownership or inventorship of intellectual property can also arise in other contexts, such as collaborations and sponsored research. If we are subject to a dispute challenging our rights in or to inventions or other intellectual property, such a dispute could be expensive and time consuming. If we are unsuccessful in defending such claims, in addition to paying monetary damages, unless we are able to obtain a license, which might not be available on commercially reasonable terms or at all, we could lose valuable rights in intellectual property, such as the exclusive ownership of, or right to use, intellectual property that we regard as our own or that is important to our business. Even if we are successful in defending against such claims, litigation could result in substantial costs and be a distraction to management and other employees, and certain customers, licensors or partners may defer engaging with us until the particular dispute is resolved. Any of the foregoing could have a material adverse effect on our business, financial condition, results of operations and prospects.</w:t>
      </w:r>
    </w:p>
    <w:p>
      <w:pPr>
        <w:spacing w:after="0" w:line="231"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that our employees, consultants or independent contractors have wrongfully used or disclosed trade secrets or other confidential information of their former employers or other third parties or claims asserting ownership of what we regard as our own intellectual property.</w:t>
      </w:r>
    </w:p>
    <w:p>
      <w:pPr>
        <w:spacing w:after="0" w:line="48"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have received, and will continue to receive, confidential and proprietary information from third parties. In addition, we have employed and expect to continue to employ individuals who were previously employed at university or other biotechnology or pharmaceutical companies, including our competitors or potential competitors, in some cases until recently. Although we try to ensure that our employees, consultants, advisors and independent contractors do not use the proprietary information or know-how of others in their work for us, we may be subject to claims that we, our employees, advisors, consultants or independent contractors have deliberately, inadvertently or otherwise used or disclosed intellectual property, including trade secrets or other proprietary information of these former employers, competitors or other third parties, or to claims that we have improperly used or obtained such trade secrets. We may be subject to claims that we or our employees, consultants or independent contractors have inadvertently or otherwise used or disclosed confidential information of these third parties or our employees’ former employers or our consultants’ or contractors’ current or former clients or customers. Litigation may be necessary to defend against these claims. Even if we are successful in defending against these claims, litigation could result in substantial costs and be a distraction to our management and employees. If we are not successful in defending such claims, in addition to paying monetary damages, we could lose access or exclusive access to valuable intellectual property rights and face increased competition to our business. Any of the foregoing could harm our business, financial condition, results of operations and prospects.</w:t>
      </w:r>
    </w:p>
    <w:p>
      <w:pPr>
        <w:spacing w:after="0" w:line="236"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and damages resulting from claims, that we or our employees have wrongfully used or disclosed alleged trade secrets of our competitors or are in breach of non-competition or non-solicitation agreements with our competitors.</w:t>
      </w:r>
    </w:p>
    <w:p>
      <w:pPr>
        <w:spacing w:after="0" w:line="48" w:lineRule="exact"/>
        <w:rPr>
          <w:sz w:val="20"/>
          <w:szCs w:val="20"/>
          <w:color w:val="auto"/>
        </w:rPr>
      </w:pPr>
    </w:p>
    <w:p>
      <w:pPr>
        <w:jc w:val="both"/>
        <w:ind w:left="640" w:right="639" w:firstLine="351"/>
        <w:spacing w:after="0" w:line="271" w:lineRule="auto"/>
        <w:rPr>
          <w:sz w:val="20"/>
          <w:szCs w:val="20"/>
          <w:color w:val="auto"/>
        </w:rPr>
      </w:pPr>
      <w:r>
        <w:rPr>
          <w:rFonts w:ascii="Times New Roman" w:cs="Times New Roman" w:eastAsia="Times New Roman" w:hAnsi="Times New Roman"/>
          <w:sz w:val="14"/>
          <w:szCs w:val="14"/>
          <w:color w:val="auto"/>
        </w:rPr>
        <w:t>Many of our employees were previously employed at universities or other biotechnology or pharmaceutical companies, including our competitors or potential competitors, in some cases until recently. We may be subject to claims that we or our employees have inadvertently or otherwise used or disclosed trade secrets or other proprietary information belonging to these former employers or</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3" w:name="page74"/>
    <w:bookmarkEnd w:id="73"/>
    <w:p>
      <w:pPr>
        <w:jc w:val="both"/>
        <w:ind w:left="640" w:right="659"/>
        <w:spacing w:after="0" w:line="262" w:lineRule="auto"/>
        <w:rPr>
          <w:sz w:val="20"/>
          <w:szCs w:val="20"/>
          <w:color w:val="auto"/>
        </w:rPr>
      </w:pPr>
      <w:r>
        <w:rPr>
          <w:rFonts w:ascii="Times New Roman" w:cs="Times New Roman" w:eastAsia="Times New Roman" w:hAnsi="Times New Roman"/>
          <w:sz w:val="14"/>
          <w:szCs w:val="14"/>
          <w:color w:val="auto"/>
        </w:rPr>
        <w:t>competitors. In addition, we have been and may in the future be subject to claims that we caused an employee to breach the terms of his or her non-competition or non-solicitation agreement. Litigation may be necessary to defend against these claims. Even if we are successful in defending against these claims, litigation could result in substantial costs and could be a distraction to management. If our defense to those claims fails, in addition to paying monetary damages, we may lose valuable intellectual property rights or personnel. Any litigation or the threat thereof may adversely affect our ability to hire employees. A loss of key personnel or their work product could hamper or prevent our ability to commercialize product candidates or potential products, which could have an adverse effect on our business, results of operations, financial condition and prospects.</w:t>
      </w:r>
    </w:p>
    <w:p>
      <w:pPr>
        <w:spacing w:after="0" w:line="226"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Patent terms may be inadequate to protect our competitive position on our product candidates for an adequate amount of time. If we do not obtain patent term extension and data exclusivity for any of our current or future product candidates, our business may be materially harmed.</w:t>
      </w:r>
    </w:p>
    <w:p>
      <w:pPr>
        <w:spacing w:after="0" w:line="48" w:lineRule="exact"/>
        <w:rPr>
          <w:sz w:val="20"/>
          <w:szCs w:val="20"/>
          <w:color w:val="auto"/>
        </w:rPr>
      </w:pPr>
    </w:p>
    <w:p>
      <w:pPr>
        <w:jc w:val="both"/>
        <w:ind w:left="640" w:right="639" w:firstLine="351"/>
        <w:spacing w:after="0" w:line="258" w:lineRule="auto"/>
        <w:rPr>
          <w:sz w:val="20"/>
          <w:szCs w:val="20"/>
          <w:color w:val="auto"/>
        </w:rPr>
      </w:pPr>
      <w:r>
        <w:rPr>
          <w:rFonts w:ascii="Times New Roman" w:cs="Times New Roman" w:eastAsia="Times New Roman" w:hAnsi="Times New Roman"/>
          <w:sz w:val="14"/>
          <w:szCs w:val="14"/>
          <w:color w:val="auto"/>
        </w:rPr>
        <w:t>Depending upon the timing, duration, conditions and specifics of any FDA marketing approval of any of our current or future product candidates that we may receive, one or more U.S. patents that we may obtain in the future may be eligible for limited patent term extension under the Drug Price Competition and Patent Term Restoration Act of 1984 (Hatch-Waxman Amendments) and one or more of our foreign patent rights may be eligible for patent term extension under similar legislation, for example, in the EU. In the U.S., the Hatch-Waxman Amendments permit a patent extension term of up to five years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there are no assurances that the FDA or any comparable foreign regulatory authority or national patent office will grant such extensions, in whole or in part. For example, we may not be granted an extension if we fail to exercise due diligence during the testing phase or regulatory review process, fail to apply within applicable deadlines, fail to apply prior to the expiration of relevant patents, or otherwise fail to satisfy other applicable requirements. Moreover, the applicable time period or the scope of patent protection afforded could be less than we request. If we are unable to obtain patent term extension or term of any such extension is less than we request, the period during which we can enforce our patent rights for the applicable product candidate will be shortened, and our competitors or other third parties may obtain approval to market competing products following expiration of any patents that we may obtain in the future, and our business, financial condition, results of operations, and prospects could be materially harmed.</w:t>
      </w:r>
    </w:p>
    <w:p>
      <w:pPr>
        <w:spacing w:after="0" w:line="234"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trademarks are not adequately protected, then we may not be able to build name recognition in our markets of interest and our business may be adversely affected.</w:t>
      </w:r>
    </w:p>
    <w:p>
      <w:pPr>
        <w:spacing w:after="0" w:line="3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rely on both registered and common law protection for our trademarks for use in connection with our product candidates and services in various countries. These trademarks may not afford adequate protection. Our trademark applications may be provisionally or ultimately refused by the USPTO or the trademark agencies of other countries, or such applications may be challenged by others. We also may not have the financial resources to enforce the rights under these trademarks, which may enable others to use the trademarks and dilute their value. Our trademarks may be challenged, infringed, circumvented or declared generic or determined to be infringing the trademarks of others. In such a case, we may not be able to protect or derive any value from such trademarks or may be required to cease using a conflicting mark entirely. The value of our trademarks may also be diminished by our own actions, such as failing to impose appropriate quality control when licensing our trademarks. Any of the foregoing could impair the value of, or ability to use, our trademarks, reduce our ability to compete effectively, and have an adverse effect on our business.</w:t>
      </w:r>
    </w:p>
    <w:p>
      <w:pPr>
        <w:spacing w:after="0" w:line="231"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Certain of our in-licensed patent rights are, and our future owned and in-licensed patent rights may be, subject to a reservation of rights by one or more third parties, including government march-in rights with regards to certain patents, that may limit our ability to exclude third parties from commercializing product candidates similar or identical to ours.</w:t>
      </w:r>
    </w:p>
    <w:p>
      <w:pPr>
        <w:spacing w:after="0" w:line="48"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Certain of our in-licensed patent rights may be subject to a reservation of rights by one or more third parties. Pursuant to the Bayh-Dole Act, the U.S. government has march-in rights with regards to government-funded technology.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provide the U.S. government with the right to, at any time, take title to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74" w:name="page75"/>
    <w:bookmarkEnd w:id="74"/>
    <w:p>
      <w:pPr>
        <w:jc w:val="both"/>
        <w:ind w:left="640" w:right="659"/>
        <w:spacing w:after="0" w:line="274" w:lineRule="auto"/>
        <w:rPr>
          <w:sz w:val="20"/>
          <w:szCs w:val="20"/>
          <w:color w:val="auto"/>
        </w:rPr>
      </w:pPr>
      <w:r>
        <w:rPr>
          <w:rFonts w:ascii="Times New Roman" w:cs="Times New Roman" w:eastAsia="Times New Roman" w:hAnsi="Times New Roman"/>
          <w:sz w:val="14"/>
          <w:szCs w:val="14"/>
          <w:color w:val="auto"/>
        </w:rPr>
        <w:t>preference to U.S. industry. In addition, our rights in such inventions may be subject to certain requirements to manufacture products embodying such inventions in the U.S. Any exercise by the government of any of the foregoing rights could harm our competitive position, business, financial condition, results of operations, and prospects.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Reliance on Third Parties</w:t>
      </w:r>
    </w:p>
    <w:p>
      <w:pPr>
        <w:spacing w:after="0" w:line="95"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rely on third parties to help us conduct our clinical trials. If these third parties do not properly and successfully carry out their contractual duties or meet expected deadlines, we may not be able to obtain regulatory approval of or commercialize our product candidates.</w:t>
      </w:r>
    </w:p>
    <w:p>
      <w:pPr>
        <w:spacing w:after="0" w:line="48"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utilize and depend upon independent investigators and collaborators, such as medical institutions, CROs, CDMOs and strategic partners to help us conduct our preclinical studies and clinical trials under agreements with us. We have and expect to have to negotiate budgets and contracts with CROs, trial sites and CDMOs which may result in delays to our development timelines and increased costs. We will rely heavily on these third parties over the course of our clinical trials, and we control only certain aspects of their activities. As a result, we will have less direct control over the conduct, timing and completion of these clinical trials and the management of data developed through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provide assurance that, upon inspection, such regulatory authorities will determine that any of our clinical trials comply with the GCP regulations. In addition, our clinical trials must be conducted with biologic product produced under cGMP regulations, including cGTP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321"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46"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Switching or adding third parties to conduct our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18"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in the past and may in the future form or seek collaborations or strategic alliances or enter into additional licensing arrangements in the future, and we may not realize the benefits of such collaborations, alliances or licensing arrangements.</w:t>
      </w:r>
    </w:p>
    <w:p>
      <w:pPr>
        <w:spacing w:after="0" w:line="34" w:lineRule="exact"/>
        <w:rPr>
          <w:sz w:val="20"/>
          <w:szCs w:val="20"/>
          <w:color w:val="auto"/>
        </w:rPr>
      </w:pPr>
    </w:p>
    <w:p>
      <w:pPr>
        <w:jc w:val="both"/>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We have in the past and may in the future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42"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potency and purity and obtain marketing approval.</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75" w:name="page76"/>
    <w:bookmarkEnd w:id="75"/>
    <w:p>
      <w:pPr>
        <w:jc w:val="center"/>
        <w:ind w:right="99"/>
        <w:spacing w:after="0"/>
        <w:rPr>
          <w:sz w:val="20"/>
          <w:szCs w:val="20"/>
          <w:color w:val="auto"/>
        </w:rPr>
      </w:pPr>
      <w:r>
        <w:rPr>
          <w:rFonts w:ascii="Times New Roman" w:cs="Times New Roman" w:eastAsia="Times New Roman" w:hAnsi="Times New Roman"/>
          <w:sz w:val="14"/>
          <w:szCs w:val="14"/>
          <w:color w:val="auto"/>
        </w:rPr>
        <w:t>Further, collaborations involving our product candidates are subject to numerous risks, which may include the following:</w:t>
      </w:r>
    </w:p>
    <w:p>
      <w:pPr>
        <w:spacing w:after="0" w:line="97" w:lineRule="exact"/>
        <w:rPr>
          <w:sz w:val="20"/>
          <w:szCs w:val="20"/>
          <w:color w:val="auto"/>
        </w:rPr>
      </w:pPr>
    </w:p>
    <w:p>
      <w:pPr>
        <w:ind w:left="1340" w:hanging="352"/>
        <w:spacing w:after="0"/>
        <w:tabs>
          <w:tab w:leader="none" w:pos="1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have significant discretion in determining the efforts and resources that they will apply to a collaboration;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perform their obligations as expected;</w:t>
      </w:r>
    </w:p>
    <w:p>
      <w:pPr>
        <w:spacing w:after="0" w:line="96" w:lineRule="exact"/>
        <w:rPr>
          <w:rFonts w:ascii="Times New Roman" w:cs="Times New Roman" w:eastAsia="Times New Roman" w:hAnsi="Times New Roman"/>
          <w:sz w:val="14"/>
          <w:szCs w:val="14"/>
          <w:color w:val="auto"/>
        </w:rPr>
      </w:pPr>
    </w:p>
    <w:p>
      <w:pPr>
        <w:jc w:val="both"/>
        <w:ind w:left="1340" w:right="659" w:hanging="352"/>
        <w:spacing w:after="0" w:line="268" w:lineRule="auto"/>
        <w:tabs>
          <w:tab w:leader="none" w:pos="1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54" w:lineRule="exact"/>
        <w:rPr>
          <w:rFonts w:ascii="Times New Roman" w:cs="Times New Roman" w:eastAsia="Times New Roman" w:hAnsi="Times New Roman"/>
          <w:sz w:val="14"/>
          <w:szCs w:val="14"/>
          <w:color w:val="auto"/>
        </w:rPr>
      </w:pPr>
    </w:p>
    <w:p>
      <w:pPr>
        <w:jc w:val="both"/>
        <w:ind w:left="1340" w:right="659" w:hanging="352"/>
        <w:spacing w:after="0" w:line="285" w:lineRule="auto"/>
        <w:tabs>
          <w:tab w:leader="none" w:pos="1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219"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could independently develop, or develop with third parties, products that compete directly or indirectly with our product candidates;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with marketing and distribution rights to one or more products may not commit sufficient resources to their marketing and distribution;</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properly maintain or defend our intellectual property or proprietary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50"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type of our collaborations could adversely affect our attractiveness to future collaborators or acquirers;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conflicts between different collaborators that could negatively affect those collaborations and potentially others;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collaborations may be terminated and, if terminated, may result in a need for additional capital to pursue further development or commercialization of the applicable product candidates; and</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own or co-own intellectual property covering our product candidates that results from our collaborating with them, and in such cases, we would not have the exclusive right to commercialize such intellectual property.</w:t>
      </w:r>
    </w:p>
    <w:p>
      <w:pPr>
        <w:spacing w:after="0" w:line="12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As a result, if we enter into additional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4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Our collaboration agreements may grant our collaborators exclusive rights under certain of our intellectual property and may therefore preclude us from entering into collaborations with others relating to the same or similar compounds, therapeutic targets, indications or diseases. For example, the Amgen Agreement, to identify antigens recognized by T cells in patients with Crohn’s disease, grants Amgen options to evaluate a variety of modalities to create therapeutics based on targets discovered by us, and Amgen will retain all global development and commercialization rights. In addition, if a collaboration agreement is terminated, in whole or in part, we may be unable to continue the development and commercialization of the applicable product candidates, and even if we are able to do so, such efforts may be delayed and result in additional costs.</w:t>
      </w:r>
    </w:p>
    <w:p>
      <w:pPr>
        <w:spacing w:after="0" w:line="144"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may in the future determine to partner with additional pharmaceutical and biotechnology companies for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discovery platform and our business, prospects, financial condition and results of operations may be materially and adversely affected.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6" w:name="page77"/>
    <w:bookmarkEnd w:id="76"/>
    <w:p>
      <w:pPr>
        <w:jc w:val="both"/>
        <w:ind w:left="980" w:right="65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have engaged a global third-party manufacturer to manufacture products for our clinical trials. In the future, we may rely on the use of manufacturing suites in third-party GMP facilities or third parties to manufacture our product candidates. Our business could be harmed if we are unable to use third-party manufacturing suites or if the third-party manufacturers fail to provide us with sufficient quantities of our product candidates or fail to do so at acceptable quality levels, prices, or timing.</w:t>
      </w:r>
    </w:p>
    <w:p>
      <w:pPr>
        <w:spacing w:after="0" w:line="230" w:lineRule="exact"/>
        <w:rPr>
          <w:sz w:val="20"/>
          <w:szCs w:val="20"/>
          <w:color w:val="auto"/>
        </w:rPr>
      </w:pPr>
    </w:p>
    <w:p>
      <w:pPr>
        <w:jc w:val="both"/>
        <w:ind w:left="640" w:right="639" w:firstLine="351"/>
        <w:spacing w:after="0" w:line="292" w:lineRule="auto"/>
        <w:rPr>
          <w:sz w:val="20"/>
          <w:szCs w:val="20"/>
          <w:color w:val="auto"/>
        </w:rPr>
      </w:pPr>
      <w:r>
        <w:rPr>
          <w:rFonts w:ascii="Times New Roman" w:cs="Times New Roman" w:eastAsia="Times New Roman" w:hAnsi="Times New Roman"/>
          <w:sz w:val="14"/>
          <w:szCs w:val="14"/>
          <w:color w:val="auto"/>
        </w:rPr>
        <w:t>We have manufacturing capacity at our facilities in Waltham, Massachusetts, but we have not yet manufactured our product candidates on a commercial scale and may not be able to do so for any of our product candidates.</w:t>
      </w:r>
    </w:p>
    <w:p>
      <w:pPr>
        <w:spacing w:after="0" w:line="12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are using third parties as part of our manufacturing process to support our clinical trials for our product candidates, and we may also use them for product candidates in the future. Our anticipated reliance on a limited number of third-party manufacturers exposes us to the following risks:</w:t>
      </w:r>
    </w:p>
    <w:p>
      <w:pPr>
        <w:spacing w:after="0" w:line="50" w:lineRule="exact"/>
        <w:rPr>
          <w:sz w:val="20"/>
          <w:szCs w:val="20"/>
          <w:color w:val="auto"/>
        </w:rPr>
      </w:pPr>
    </w:p>
    <w:p>
      <w:pPr>
        <w:jc w:val="both"/>
        <w:ind w:left="1340" w:right="659" w:hanging="352"/>
        <w:spacing w:after="0" w:line="274" w:lineRule="auto"/>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identify manufacturers on acceptable terms or at all because the number of potential manufacturers is limited, and the FDA must inspect any manufacturers for current cGMP and cGTP compliance as part of our marketing application;</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new manufacturer would have to be educated in, or develop substantially equivalent processes for, the production of our product candidates;</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manufacturers may have little or no experience with autologous cell products, which are products made from a patient’s own cells, and therefore may require a significant amount of support from us in order to implement and maintain the infrastructure and processes required to manufacture our product candidates;</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manufacturers might be unable to timely manufacture our product candidates or produce the quantity and quality required to meet our clinical and commercial needs, if any;</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suppliers or collaborators from whom we receive our antibodies used in combination with our product candidates may be unable to timely manufacture or provide the applicable antibody or produce the quantity and quality required to meet our clinical and commercial needs;</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manufacturers may not be able to execute our manufacturing procedures and other logistical support requirements appropriately;</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 if any;</w:t>
      </w:r>
    </w:p>
    <w:p>
      <w:pPr>
        <w:spacing w:after="0" w:line="50" w:lineRule="exact"/>
        <w:rPr>
          <w:rFonts w:ascii="Times New Roman" w:cs="Times New Roman" w:eastAsia="Times New Roman" w:hAnsi="Times New Roman"/>
          <w:sz w:val="14"/>
          <w:szCs w:val="14"/>
          <w:color w:val="auto"/>
        </w:rPr>
      </w:pPr>
    </w:p>
    <w:p>
      <w:pPr>
        <w:jc w:val="both"/>
        <w:ind w:left="1340" w:right="639" w:hanging="352"/>
        <w:spacing w:after="0" w:line="274" w:lineRule="auto"/>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manufacturers are subject to ongoing periodic unannounced inspection by the FDA and corresponding state agencies to ensure strict compliance with cGMP, cGTP and other government regulations and corresponding foreign standards. We do not have control over third-party manufacturers’ compliance with these regulations and standards;</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own, or may have to share, the intellectual property rights to any improvements made by our third-party manufacturers in the manufacturing process for our product candidates;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manufacturers could breach or terminate their agreements with us;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 manufacturers and critical reagent suppliers may be subject to inclement weather, as well as natural or man-made disasters;</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 manufacturers may have unacceptable or inconsistent product quality success rates and yields, and we have no direct control over our contract manufacturers’ ability to maintain adequate quality control, quality assurance and qualified personnel; and</w:t>
      </w:r>
    </w:p>
    <w:p>
      <w:pPr>
        <w:spacing w:after="0" w:line="50" w:lineRule="exact"/>
        <w:rPr>
          <w:rFonts w:ascii="Times New Roman" w:cs="Times New Roman" w:eastAsia="Times New Roman" w:hAnsi="Times New Roman"/>
          <w:sz w:val="14"/>
          <w:szCs w:val="14"/>
          <w:color w:val="auto"/>
        </w:rPr>
      </w:pPr>
    </w:p>
    <w:p>
      <w:pPr>
        <w:jc w:val="both"/>
        <w:ind w:left="1340" w:right="659" w:hanging="352"/>
        <w:spacing w:after="0" w:line="268" w:lineRule="auto"/>
        <w:tabs>
          <w:tab w:leader="none" w:pos="1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 manufacturers may be adversely affected by the geopolitical and economic tensions with China, the ongoing conflicts between Russia and Ukraine, political unrest in countries where we or our partners operate, earthquakes, flooding, fires, and other natural or man-made disasters, equipment failures, labor shortages, power failures, and numerous other factors.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77" w:name="page78"/>
    <w:bookmarkEnd w:id="77"/>
    <w:p>
      <w:pPr>
        <w:jc w:val="both"/>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142" w:lineRule="exact"/>
        <w:rPr>
          <w:sz w:val="20"/>
          <w:szCs w:val="20"/>
          <w:color w:val="auto"/>
        </w:rPr>
      </w:pPr>
    </w:p>
    <w:p>
      <w:pPr>
        <w:jc w:val="both"/>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manufacture of cellular-based drug products is complex and requires significant expertise and capital investment, including the development of advanced manufacturing techniques and process controls. Manufacturers of such products often encounter difficulties in production, particularly in scaling up or out, validating the production process and assuring high reliability of the manufacturing process (including the absence of contamination). These problems include logistics and shipping, difficulties with production costs and yields, quality control, including stability of the product, intermediates, or raw materials, product testing, operator error and availability of qualified personnel, as well as compliance with strictly enforced federal, state and foreign regulations. Furthermore, if contaminants are discovered in our supply of our product candidates or in the manufacturing facilities, such manufacturing facilities may need to be closed for an extended period of time to investigate and remedy the contamination. We cannot provide assurance that any stability failures or other issues relating to the manufacture of our product candidates will not occur in the future.</w:t>
      </w:r>
    </w:p>
    <w:p>
      <w:pPr>
        <w:spacing w:after="0" w:line="320"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may fail to manage the logistics of collecting and shipping patient material to our manufacturing site (or that of any third party we engage) and shipping the product candidate back to the patient. Logistical and shipment delays and problems caused by us, our vendors or other factors not in our control, such as weather, could prevent or delay the delivery of product candidates to patients. Additionally, we have to maintain a complex chain of identity and chain of custody with respect to patient material as it moves to the manufacturing facility, through the manufacturing process and back to the patient. Failure to maintain chain of identity and chain of custody could result in patient death, loss of product or regulatory action.</w:t>
      </w:r>
    </w:p>
    <w:p>
      <w:pPr>
        <w:spacing w:after="0" w:line="226"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product candidates rely on the availability of specialty materials, which may not be available to us on acceptable terms or at all.</w:t>
      </w:r>
    </w:p>
    <w:p>
      <w:pPr>
        <w:spacing w:after="0" w:line="3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Our product candidates require specialty materials, some of which are manufactured by small companies with limited resources and experience to support a commercial product. We may not be able to contract with suppliers on acceptable terms or at all. In addition, a number of our suppliers normally support blood-based hospital businesses and generally do not have the capacity to support commercial products manufactured under cGMP by biotechnology firms or may divert their resources towards hospitals rather than us. Our suppliers may be ill-equipped to support our needs, especially in non-routine circumstances like an FDA inspection or medical crisis, such as widespread contamination. We may experience delays in receiving key materials to support clinical or commercial manufacturing.</w:t>
      </w:r>
    </w:p>
    <w:p>
      <w:pPr>
        <w:spacing w:after="0" w:line="144"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In addition, some of our raw materials are currently sourced from a single supplier, or a small number of suppliers. We also use certain biologic materials that are available from multiple suppliers, but each version may perform differently, requiring us to characterize them and potentially modify the manufacturing process if we change suppliers. We cannot be sure that these suppliers will remain in business, or that they will not be purchased by one of our competitors or another company that is not interested in continuing to produce these materials for our intended purpose. Accordingly, if we no longer have access to these suppliers, we may experience delays in our clinical or commercial manufacturing which could harm our business or results of operations.</w:t>
      </w:r>
    </w:p>
    <w:p>
      <w:pPr>
        <w:spacing w:after="0" w:line="226" w:lineRule="exact"/>
        <w:rPr>
          <w:sz w:val="20"/>
          <w:szCs w:val="20"/>
          <w:color w:val="auto"/>
        </w:rPr>
      </w:pPr>
    </w:p>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manufacturing process needs to comply with FDA or other regulatory agency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48"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In order to commercially produce our product candidates either at our own facility or at a third party’s facility, we will need to comply with the FDA’s or other regulatory agencies' cGMP regulations and guidelines, including cGTPs.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cGTP or other regulatory requirements or delay, interruption or other issues that arise in the manufacture, fill-finish, packaging, or storage of our TCR-T therapy product candidates as a result of a failure of our facilities or the facilities or operations of third parties to comply with regulatory requirements or pass any regulatory authority inspection could significantly impair our ability to develop and commercialize our TCR-T therapy product candidates, including leading to significant delays in the availability of our TCR-T therapy product candidates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78" w:name="page79"/>
    <w:bookmarkEnd w:id="78"/>
    <w:p>
      <w:pPr>
        <w:jc w:val="both"/>
        <w:ind w:left="640" w:right="659"/>
        <w:spacing w:after="0" w:line="292" w:lineRule="auto"/>
        <w:rPr>
          <w:sz w:val="20"/>
          <w:szCs w:val="20"/>
          <w:color w:val="auto"/>
        </w:rPr>
      </w:pPr>
      <w:r>
        <w:rPr>
          <w:rFonts w:ascii="Times New Roman" w:cs="Times New Roman" w:eastAsia="Times New Roman" w:hAnsi="Times New Roman"/>
          <w:sz w:val="14"/>
          <w:szCs w:val="14"/>
          <w:color w:val="auto"/>
        </w:rPr>
        <w:t>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06"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third-party manufacturers use hazardous and biological materials in a manner that causes injury or violates applicable law, we may be liable for damages.</w:t>
      </w:r>
    </w:p>
    <w:p>
      <w:pPr>
        <w:spacing w:after="0" w:line="34"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Our research and development activities involve the controlled use of potentially hazardous substances, including chemical and biological materials, by our third-party manufacturers. Our manufacturing is (and any third-party manufacturers we engage are) subject to federal, state and local laws and regulations in the U.S.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Employee Matters and Managing Growth</w:t>
      </w:r>
    </w:p>
    <w:p>
      <w:pPr>
        <w:spacing w:after="0" w:line="95"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34"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The loss of the services of any of our executive officers, other key employees and other scientific and medical advisors, and an inability to find suitable replacements could result in delays in product development and harm our business. In addition, on November 3, 2025, we announced a prioritization strategy that reduced our workforce by approximately 30%, which may adversely impact our ability to retain or recruit key personnel.</w:t>
      </w:r>
    </w:p>
    <w:p>
      <w:pPr>
        <w:spacing w:after="0" w:line="144"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We conduct our operations at our facility in Waltham, Massachusetts. This region is headquarters to many other biotechnology companies and many academic and research institutions. Competition for skilled personnel in our market is intense and may limit our ability to hire and retain highly qualified personnel on acceptable terms or at all. Changes to U.S.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immigration or visa laws and regulations, including as a result of the change in the U.S. presidential administration, impair our hiring processes and goals or projects involving personnel who are not U.S. citizens.</w:t>
      </w:r>
    </w:p>
    <w:p>
      <w:pPr>
        <w:spacing w:after="0" w:line="144"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To encourage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Our success also depends on our ability to continue to attract, retain and motivate highly skilled junior, mid-level and senior managers as well as junior, mid-level and senior scientific and medical personnel.</w:t>
      </w:r>
    </w:p>
    <w:p>
      <w:pPr>
        <w:spacing w:after="0" w:line="2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We will need to grow the size of our organization, and we may experience difficulties in managing this growth.</w:t>
      </w:r>
    </w:p>
    <w:p>
      <w:pPr>
        <w:spacing w:after="0" w:line="101"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As of May 1, 2026, we had 138 full-time employees and 1 part-time employee. As our development and commercialization plans and strategies develop, and as we continue operating as a public company, we expect to need additional managerial, operational, sales, marketing, financial and other personnel, as well as additional facilities to expand our operations. Future growth would impose significant added responsibilities on members of management, including:</w:t>
      </w:r>
    </w:p>
    <w:p>
      <w:pPr>
        <w:spacing w:after="0" w:line="54" w:lineRule="exact"/>
        <w:rPr>
          <w:sz w:val="20"/>
          <w:szCs w:val="20"/>
          <w:color w:val="auto"/>
        </w:rPr>
      </w:pPr>
    </w:p>
    <w:p>
      <w:pPr>
        <w:ind w:left="1340" w:hanging="352"/>
        <w:spacing w:after="0"/>
        <w:tabs>
          <w:tab w:leader="none" w:pos="1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recruiting, integrating, maintaining and motivating additional employees;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improving our operational, financial and management controls, reporting systems and procedures.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79" w:name="page80"/>
    <w:bookmarkEnd w:id="79"/>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36"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currently rely, and for the foreseeable future will continue to rely, in substantial part on certain independent organizations, advisors and consultants to provide certain services, including substantially all aspects of regulatory approval, and clinical trial management.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146"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If we are not able to effectively expand our organization by hiring new employees and expanding our groups of consultants and contractors, or we are not able to effectively build out new facilities to accommodate this expansion, we may not be able to successfully implement the tasks necessary to further develop and commercialize our product candidates and, accordingly, may not achieve our research, development and commercialization goals.</w:t>
      </w:r>
    </w:p>
    <w:p>
      <w:pPr>
        <w:spacing w:after="0" w:line="222" w:lineRule="exact"/>
        <w:rPr>
          <w:sz w:val="20"/>
          <w:szCs w:val="20"/>
          <w:color w:val="auto"/>
        </w:rPr>
      </w:pPr>
    </w:p>
    <w:p>
      <w:pPr>
        <w:ind w:left="980" w:right="6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product liability lawsuits are brought against us, we may incur substantial liabilities and may be required to limit commercialization of our product candidates.</w:t>
      </w:r>
    </w:p>
    <w:p>
      <w:pPr>
        <w:spacing w:after="0" w:line="3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60" w:lineRule="exact"/>
        <w:rPr>
          <w:sz w:val="20"/>
          <w:szCs w:val="20"/>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our product candidates or products that we may develop;</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initiation of investigations by regulators;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to defend the related litigation;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diversion of management’s time and our resources;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participants or patients;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recalls, withdrawals or labeling, marketing or promotional restrictions;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exhaustion of any available insurance and our capital resources;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any product candidate;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decline in our share price.</w:t>
      </w:r>
    </w:p>
    <w:p>
      <w:pPr>
        <w:spacing w:after="0" w:line="183"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80" w:name="page81"/>
    <w:bookmarkEnd w:id="80"/>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utilize our net operating loss carryforwards and certain other tax attributes may be limited.</w:t>
      </w:r>
    </w:p>
    <w:p>
      <w:pPr>
        <w:spacing w:after="0" w:line="101"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Under Sections 382 and 383 of the Internal Revenue Code of 1986 (IRC), as amended, if a corporation undergoes an “ownership change” (generally defined as one or more shareholders or groups of shareholders who own at least 5 percent of the corporation’s equity increasing their equity ownership in the aggregate by a greater than 50 percentage point change (by value) over a three-year period), the corporation’s ability to use its pre-change net operating loss carryforwards and other pre-change tax attributes to offset its post-change taxable income may be limited. As a result of our public offerings, our most recent private placements and other transactions that have occurred over the past three years, we have experienced, such an “ownership change.” We may also experience ownership changes in the future as a result of subsequent shifts in our stock ownership or other transactions. As of December 31, 2025, we had U.S. federal net operating loss carryforwards of $174.7 million and U.S. federal research and development tax credit carryforwards of $21.8 million that expire through 2045 and which could be limited if we experience an “ownership change.” Under the current law, federal net operating loss carryforwards generated in taxable years beginning after December 31, 2017 will not be subject to expiration. However, any such net operating loss carryforwards may only offset 80% of our annual taxable income in taxable years beginning after December 31, 2020. State net operating loss carryforwards and other tax attributes may be similarly limited. Any such limitations may result in increased tax liabilities that could adversely affect our business, results of operations, financial position and cash flows.</w:t>
      </w:r>
    </w:p>
    <w:p>
      <w:pPr>
        <w:spacing w:after="0" w:line="200" w:lineRule="exact"/>
        <w:rPr>
          <w:sz w:val="20"/>
          <w:szCs w:val="20"/>
          <w:color w:val="auto"/>
        </w:rPr>
      </w:pP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Common Stock and Our Status as a Public Company</w:t>
      </w:r>
    </w:p>
    <w:p>
      <w:pPr>
        <w:spacing w:after="0" w:line="95"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do not know whether an active trading market will continue to develop or be sustained for our common stock and, as a result, it may be difficult for our stockholders to sell their shares of our common stock.</w:t>
      </w:r>
    </w:p>
    <w:p>
      <w:pPr>
        <w:spacing w:after="0" w:line="3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Our common stock began trading on the Nasdaq Global Market in July 2021. Prior to July 2021, there was no public market for our common stock, and we cannot assure you that an active trading market for our shares will continue to develop or be sustained. As a result, it may be difficult for our stockholders to sell their shares without depressing the market price of our common stock, or at all.</w:t>
      </w:r>
    </w:p>
    <w:p>
      <w:pPr>
        <w:spacing w:after="0" w:line="218"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price of our common stock is volatile and fluctuates substantially, which could result in substantial losses for our stockholders.</w:t>
      </w:r>
    </w:p>
    <w:p>
      <w:pPr>
        <w:spacing w:after="0" w:line="3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Our stock price has been, and is likely to continue to be, volatile. The stock market in general, and the market for smaller biotechnology companies in particular, have experienced extreme price volatility and volume fluctuations that have often been unrelated to the operating performance of particular companies. As a result of this volatility, our stockholders may not be able to sell their common stock at or above the price they paid for their shares. The market price for our common stock may be influenced by many factors, including:</w:t>
      </w:r>
    </w:p>
    <w:p>
      <w:pPr>
        <w:spacing w:after="0" w:line="56" w:lineRule="exact"/>
        <w:rPr>
          <w:sz w:val="20"/>
          <w:szCs w:val="20"/>
          <w:color w:val="auto"/>
        </w:rPr>
      </w:pPr>
    </w:p>
    <w:p>
      <w:pPr>
        <w:ind w:left="1340" w:hanging="352"/>
        <w:spacing w:after="0"/>
        <w:tabs>
          <w:tab w:leader="none" w:pos="1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performance of the equity markets;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performance and the performance of other similar companies;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from our ongoing clinical trials and future clinical trials with our current and future product candidates or of our competitors;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the commencement, enrollment and the ultimate completion of clinical trials;</w:t>
      </w:r>
    </w:p>
    <w:p>
      <w:pPr>
        <w:spacing w:after="0" w:line="96" w:lineRule="exact"/>
        <w:rPr>
          <w:rFonts w:ascii="Times New Roman" w:cs="Times New Roman" w:eastAsia="Times New Roman" w:hAnsi="Times New Roman"/>
          <w:sz w:val="14"/>
          <w:szCs w:val="14"/>
          <w:color w:val="auto"/>
        </w:rPr>
      </w:pPr>
    </w:p>
    <w:p>
      <w:pPr>
        <w:ind w:left="1340" w:right="639" w:hanging="352"/>
        <w:spacing w:after="0" w:line="292" w:lineRule="auto"/>
        <w:tabs>
          <w:tab w:leader="none" w:pos="1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projected operating results that we provide to the public, our failure to meet these projections or changes in recommendations by securities analysts that elect to follow our common stock;</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actions with respect to our product candidates;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U.S. and other countries;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expenses related to future product candidates or clinical development programs;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achieve product development or commercialization goals or regulatory approval milestones in the timeframe we announce;</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hospital or emergency care partner practices;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acquisitions, strategic alliances or significant agreements by us or by our competitors;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intellectual property or proprietary rights;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our intellectual property and proprietary rights;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recruitment or departure of key personnel;</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economy as a whole and market conditions in our industry, including conditions resulting from ongoing conflicts between Russia and Ukraine;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81" w:name="page82"/>
    <w:bookmarkEnd w:id="81"/>
    <w:p>
      <w:pPr>
        <w:ind w:left="1340" w:hanging="352"/>
        <w:spacing w:after="0"/>
        <w:tabs>
          <w:tab w:leader="none" w:pos="1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financial results or the financial results of companies that are perceived to be similar to us;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financing or other corporate transactions, or inability to obtain additional funding;</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activity by a limited number of stockholders who together beneficially own a substantial amount of our outstanding common stock;</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of market standoff or contractual lock-up agreements, as applicable;</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our market float;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factors described in this “Risk Factors” section.</w:t>
      </w:r>
    </w:p>
    <w:p>
      <w:pPr>
        <w:spacing w:after="0" w:line="183" w:lineRule="exact"/>
        <w:rPr>
          <w:sz w:val="20"/>
          <w:szCs w:val="20"/>
          <w:color w:val="auto"/>
        </w:rPr>
      </w:pPr>
    </w:p>
    <w:p>
      <w:pPr>
        <w:jc w:val="both"/>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In addition, the stock markets have experienced extreme price and volume fluctuations that have affected and continue to affect the market prices of equity securities of many biotechnology companies. Stock prices of many biotechnology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399"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inaccurate or unfavorable research about our business, our stock price and trading volume could decline.</w:t>
      </w:r>
    </w:p>
    <w:p>
      <w:pPr>
        <w:spacing w:after="0" w:line="34"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trading market for our common stock will depend in part on the research and reports that securities or industry analysts publish about us or our business.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226"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Substantial amounts of our outstanding shares may be sold into the market. If there are substantial sales of shares of our common stock, the price of our common stock could decline.</w:t>
      </w:r>
    </w:p>
    <w:p>
      <w:pPr>
        <w:spacing w:after="0" w:line="34"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Shares held by directors, executive officers and their affiliates will be subject to volume limitations or other restrictions under Rule 144 under the Securities Act of 1933, as amended (Securities Act) and various vesting agreements.</w:t>
      </w:r>
    </w:p>
    <w:p>
      <w:pPr>
        <w:spacing w:after="0" w:line="164"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Certain of our stockholders have rights, subject to some conditions above, to require us to file registration statements covering their shares or to include their shares in registration statements that we may file for ourselves or our stockholders. We also have registered shares of common stock that we have issued and may issue under our employee equity incentive plans. Once we register these shares, they will be able to be sold freely in the public market upon issuance.</w:t>
      </w:r>
    </w:p>
    <w:p>
      <w:pPr>
        <w:spacing w:after="0" w:line="140" w:lineRule="exact"/>
        <w:rPr>
          <w:sz w:val="20"/>
          <w:szCs w:val="20"/>
          <w:color w:val="auto"/>
        </w:rPr>
      </w:pPr>
    </w:p>
    <w:p>
      <w:pPr>
        <w:jc w:val="both"/>
        <w:ind w:left="640" w:right="659" w:firstLine="351"/>
        <w:spacing w:after="0" w:line="285" w:lineRule="auto"/>
        <w:rPr>
          <w:sz w:val="20"/>
          <w:szCs w:val="20"/>
          <w:color w:val="auto"/>
        </w:rPr>
      </w:pPr>
      <w:r>
        <w:rPr>
          <w:rFonts w:ascii="Times New Roman" w:cs="Times New Roman" w:eastAsia="Times New Roman" w:hAnsi="Times New Roman"/>
          <w:sz w:val="14"/>
          <w:szCs w:val="14"/>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387"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concentration of our stock ownership will likely limit our stockholders’ ability to influence corporate matters, including the ability to influence the outcome of director elections and other matters requiring stockholder approval.</w:t>
      </w:r>
    </w:p>
    <w:p>
      <w:pPr>
        <w:spacing w:after="0" w:line="34"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As of May 1, 2026, our executive officers, directors, and entities affiliated with such persons beneficially owned, in the aggregate, approximately 25% of our outstanding voting stock and approximately 30% of our outstanding common stock. As a result, these stockholders, acting together, have significant influence over all matters that require approval by our stockholders, including the election of directors and approval of significant corporate transactions. Corporate actions might be taken even if other stockholders, oppose them. This concentration of ownership may prevent or discourage unsolicited acquisition proposals or offers for our common stock that you or other stockholders may feel are in your or their best interest as one of our stockholders. This concentration of ownership might also have the effect of delaying or preventing a change of control of our Company that other stockholders may view as beneficial.</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82" w:name="page83"/>
    <w:bookmarkEnd w:id="82"/>
    <w:p>
      <w:pPr>
        <w:jc w:val="both"/>
        <w:ind w:left="980" w:right="6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48" w:lineRule="exact"/>
        <w:rPr>
          <w:sz w:val="20"/>
          <w:szCs w:val="20"/>
          <w:color w:val="auto"/>
        </w:rPr>
      </w:pPr>
    </w:p>
    <w:p>
      <w:pPr>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38" w:lineRule="exact"/>
        <w:rPr>
          <w:sz w:val="20"/>
          <w:szCs w:val="20"/>
          <w:color w:val="auto"/>
        </w:rPr>
      </w:pPr>
    </w:p>
    <w:p>
      <w:pPr>
        <w:jc w:val="both"/>
        <w:ind w:left="1340" w:right="659" w:hanging="352"/>
        <w:spacing w:after="0" w:line="274" w:lineRule="auto"/>
        <w:tabs>
          <w:tab w:leader="none" w:pos="1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to present only two years of audited financial statements, in addition to any required unaudited interim financial statements, with correspondingly reduced “Management’s Discussion and Analysis of Financial Condition and Results of Operations” disclosure;</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the auditor attestation requirements of Section 404(b) of the Sarbanes Oxley Act;</w:t>
      </w:r>
    </w:p>
    <w:p>
      <w:pPr>
        <w:spacing w:after="0" w:line="96"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50"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disclose certain executive compensation-related items such as the correlation between executive compensation and performance and comparisons of the chief executive officer’s compensation to median employee compensation; and</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submit certain executive compensation matters to stockholder advisory votes, such as “say-on-pay,” “say-on-frequency,” and “say-on-golden parachutes.”</w:t>
      </w:r>
    </w:p>
    <w:p>
      <w:pPr>
        <w:spacing w:after="0" w:line="12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 JOBS Act permits an “emerging growth company” such as us to take advantage of an extended transition period to comply with new or revised accounting standards applicable to public companies. We have elected to take advantage of this extended transition period.</w:t>
      </w:r>
    </w:p>
    <w:p>
      <w:pPr>
        <w:spacing w:after="0" w:line="136"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would cease to be an emerging growth company on the date that is the earliest of (i) the last day of the fiscal year in which we have total annual gross revenue of $1.235 billion or more; (ii) December 31, 2026; (iii) the date on which we have issued more than $1.0 billion in nonconvertible debt during the previous three years; or (iv) the last day of the fiscal year in which we are deemed to be a large accelerated filer under the rules of the SEC, which means the market value of our voting and non-voting common stock that is held by non-affiliates exceeds $700 million as of the prior June 30th.</w:t>
      </w:r>
    </w:p>
    <w:p>
      <w:pPr>
        <w:spacing w:after="0" w:line="146"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as amended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26"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Requirements associated with being a public company will increase our costs significantly, as well as divert significant company resources and management attention.</w:t>
      </w:r>
    </w:p>
    <w:p>
      <w:pPr>
        <w:spacing w:after="0" w:line="34"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As a public company, and particularly after we are no longer an “emerging growth company,” we will incur significant legal, accounting and other expenses that we did not incur as a private company, including costs associated with public company reporting requirements. We also anticipate that we will incur costs associated with relatively recently adopted corporate governance requirements, including requirements of the SEC, and the Nasdaq Global Market. We expect these rules and regulations to increase our legal and financial compliance costs and to make some activities more time-consuming and costly. We also expect that these rules and regulations may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83" w:name="page84"/>
    <w:bookmarkEnd w:id="83"/>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proper and effective internal controls, our ability to produce accurate and timely financial statements could be impaired, which could result in sanctions or other penalties that would harm our business.</w:t>
      </w:r>
    </w:p>
    <w:p>
      <w:pPr>
        <w:spacing w:after="0" w:line="34" w:lineRule="exact"/>
        <w:rPr>
          <w:sz w:val="20"/>
          <w:szCs w:val="20"/>
          <w:color w:val="auto"/>
        </w:rPr>
      </w:pPr>
    </w:p>
    <w:p>
      <w:pPr>
        <w:jc w:val="both"/>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46" w:lineRule="exact"/>
        <w:rPr>
          <w:sz w:val="20"/>
          <w:szCs w:val="20"/>
          <w:color w:val="auto"/>
        </w:rPr>
      </w:pPr>
    </w:p>
    <w:p>
      <w:pPr>
        <w:jc w:val="both"/>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are required to disclose changes made in our internal controls and procedures on a quarterly basis and our management will be required to assess the effectiveness of these controls annually. However, for as long as we are an “emerging growth company” under JOBS Act, our independent registered public accounting firm will not be required to attest to the effectiveness of our internal controls over financial reporting pursuant to the Sarbanes-Oxley Act. We would cease to be an emerging growth company on the date that is the earliest of (i) the last day of the fiscal year in which we have total annual gross revenue of $1.235 billion or more; (ii) December 31, 2026; (iii) the date on which we have issued more than $1.0 billion in nonconvertible debt during the previous three years; or (iv) the last day of the fiscal year in which we are deemed to be a large accelerated filer under the rules of the SEC, which means the market value of our voting and non-voting common stock that is held by non-affiliates exceeds $700 million as of the prior June 30th. An independent assessment of the effectiveness of our internal controls over financial reporting could detect problems that our management’s assessment might not. Undetected material weaknesses in our internal controls over financial reporting could lead to financial statement restatements and require us to incur the expense of remediation.</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We will have broad discretion in the use of our cash and cash equivalents and may not use them effectively.</w:t>
      </w:r>
    </w:p>
    <w:p>
      <w:pPr>
        <w:spacing w:after="0" w:line="101" w:lineRule="exact"/>
        <w:rPr>
          <w:sz w:val="20"/>
          <w:szCs w:val="20"/>
          <w:color w:val="auto"/>
        </w:rPr>
      </w:pPr>
    </w:p>
    <w:p>
      <w:pPr>
        <w:jc w:val="both"/>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We will have broad discretion in the application of our cash and cash equivalents, including working capital and other general corporate purposes, and our stockholders may disagree with how we spend or invest these proceeds. We may spend our funds in ways that do not improve our results of operations or enhance the value of our common stock. The failure by our management to apply these funds effectively could adversely affect our business and financial condition. Pending their use, we may invest our cash and cash equivalents in a manner that does not produce income or that loses value. These investments may not yield a favorable return to our stockholders.</w:t>
      </w:r>
    </w:p>
    <w:p>
      <w:pPr>
        <w:spacing w:after="0" w:line="2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for the foreseeable future.</w:t>
      </w:r>
    </w:p>
    <w:p>
      <w:pPr>
        <w:spacing w:after="0" w:line="101"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have never declared nor paid cash dividends on our capital stock. We currently intend to retain any future earnings to finance the operation and expansion of our business, and we do not expect to declare or pay any dividends in the foreseeable future. Consequently, stockholders must rely on sales of their common stock after price appreciation, which may never occur, as the only way to realize any future gains on their investment.</w:t>
      </w:r>
    </w:p>
    <w:p>
      <w:pPr>
        <w:spacing w:after="0" w:line="222"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3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spacing w:after="0" w:line="50" w:lineRule="exact"/>
        <w:rPr>
          <w:sz w:val="20"/>
          <w:szCs w:val="20"/>
          <w:color w:val="auto"/>
        </w:rPr>
      </w:pPr>
    </w:p>
    <w:p>
      <w:pPr>
        <w:jc w:val="both"/>
        <w:ind w:left="1340" w:right="659" w:hanging="352"/>
        <w:spacing w:after="0" w:line="274" w:lineRule="auto"/>
        <w:tabs>
          <w:tab w:leader="none" w:pos="13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or failure of clinical trials for our product candidates or competing product candidates, including the nature of the data obtained from such clinical trials, or any other change in the competitive landscape of our industry, including consolidation among our competitors or partners;</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recruit patients for preclinical studies and clinical trials, and any delays caused by difficulties in such recruitment efforts;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regulatory approval for our product candidates, and the timing and scope of any such approvals we may receive;</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cost of, and level of investment in, research and development activities relating to our product candidates, which may change from time to time;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84" w:name="page85"/>
    <w:bookmarkEnd w:id="84"/>
    <w:p>
      <w:pPr>
        <w:ind w:left="1340" w:right="659" w:hanging="352"/>
        <w:spacing w:after="0" w:line="292" w:lineRule="auto"/>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our product candidates, which may vary depending on the quantity of production and the terms of our agreements with manufacturers;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hire and retain qualified personnel;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expenditures that we will or may incur to develop additional product candidates;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demand for our product candidates should they receive approval, which may vary significantly;</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risk/benefit profile, cost and reimbursement policies with respect to our product candidates, if approved, and existing and potential future drugs that compete with our product candidates;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changing and volatile U.S., European and global economic environments;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accounting pronouncements or changes in our accounting policies.</w:t>
      </w:r>
    </w:p>
    <w:p>
      <w:pPr>
        <w:spacing w:after="0" w:line="183" w:lineRule="exact"/>
        <w:rPr>
          <w:sz w:val="20"/>
          <w:szCs w:val="20"/>
          <w:color w:val="auto"/>
        </w:rPr>
      </w:pPr>
    </w:p>
    <w:p>
      <w:pPr>
        <w:jc w:val="both"/>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00" w:lineRule="exact"/>
        <w:rPr>
          <w:sz w:val="20"/>
          <w:szCs w:val="20"/>
          <w:color w:val="auto"/>
        </w:rPr>
      </w:pPr>
    </w:p>
    <w:p>
      <w:pPr>
        <w:spacing w:after="0" w:line="202" w:lineRule="exact"/>
        <w:rPr>
          <w:sz w:val="20"/>
          <w:szCs w:val="20"/>
          <w:color w:val="auto"/>
        </w:rPr>
      </w:pPr>
    </w:p>
    <w:p>
      <w:pPr>
        <w:ind w:left="980" w:right="6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34" w:lineRule="exact"/>
        <w:rPr>
          <w:sz w:val="20"/>
          <w:szCs w:val="20"/>
          <w:color w:val="auto"/>
        </w:rPr>
      </w:pPr>
    </w:p>
    <w:p>
      <w:pPr>
        <w:jc w:val="both"/>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56" w:lineRule="exact"/>
        <w:rPr>
          <w:sz w:val="20"/>
          <w:szCs w:val="20"/>
          <w:color w:val="auto"/>
        </w:rPr>
      </w:pPr>
    </w:p>
    <w:p>
      <w:pPr>
        <w:ind w:left="1340" w:right="659" w:hanging="352"/>
        <w:spacing w:after="0" w:line="292" w:lineRule="auto"/>
        <w:tabs>
          <w:tab w:leader="none" w:pos="13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of directors with three-year staggered terms, which could delay the ability of stockholders to change the membership of a majority of our board of directors;</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50" w:lineRule="exact"/>
        <w:rPr>
          <w:rFonts w:ascii="Times New Roman" w:cs="Times New Roman" w:eastAsia="Times New Roman" w:hAnsi="Times New Roman"/>
          <w:sz w:val="14"/>
          <w:szCs w:val="14"/>
          <w:color w:val="auto"/>
        </w:rPr>
      </w:pPr>
    </w:p>
    <w:p>
      <w:pPr>
        <w:jc w:val="both"/>
        <w:ind w:left="1340" w:right="659" w:hanging="352"/>
        <w:spacing w:after="0" w:line="274" w:lineRule="auto"/>
        <w:tabs>
          <w:tab w:leader="none" w:pos="13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50"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which forces stockholder action to be taken at an annual or special meeting of our stockholders;</w:t>
      </w:r>
    </w:p>
    <w:p>
      <w:pPr>
        <w:spacing w:after="0" w:line="37" w:lineRule="exact"/>
        <w:rPr>
          <w:rFonts w:ascii="Times New Roman" w:cs="Times New Roman" w:eastAsia="Times New Roman" w:hAnsi="Times New Roman"/>
          <w:sz w:val="14"/>
          <w:szCs w:val="14"/>
          <w:color w:val="auto"/>
        </w:rPr>
      </w:pPr>
    </w:p>
    <w:p>
      <w:pPr>
        <w:jc w:val="both"/>
        <w:ind w:left="1340" w:right="639" w:hanging="352"/>
        <w:spacing w:after="0" w:line="274" w:lineRule="auto"/>
        <w:tabs>
          <w:tab w:leader="none" w:pos="13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50" w:lineRule="exact"/>
        <w:rPr>
          <w:rFonts w:ascii="Times New Roman" w:cs="Times New Roman" w:eastAsia="Times New Roman" w:hAnsi="Times New Roman"/>
          <w:sz w:val="14"/>
          <w:szCs w:val="14"/>
          <w:color w:val="auto"/>
        </w:rPr>
      </w:pPr>
    </w:p>
    <w:p>
      <w:pPr>
        <w:jc w:val="both"/>
        <w:ind w:left="1340" w:right="659" w:hanging="352"/>
        <w:spacing w:after="0" w:line="268" w:lineRule="auto"/>
        <w:tabs>
          <w:tab w:leader="none" w:pos="13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for the affirmative vote of holders of at least 66-2/3%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54" w:lineRule="exact"/>
        <w:rPr>
          <w:rFonts w:ascii="Times New Roman" w:cs="Times New Roman" w:eastAsia="Times New Roman" w:hAnsi="Times New Roman"/>
          <w:sz w:val="14"/>
          <w:szCs w:val="14"/>
          <w:color w:val="auto"/>
        </w:rPr>
      </w:pPr>
    </w:p>
    <w:p>
      <w:pPr>
        <w:jc w:val="both"/>
        <w:ind w:left="1340" w:right="639" w:hanging="352"/>
        <w:spacing w:after="0" w:line="268" w:lineRule="auto"/>
        <w:tabs>
          <w:tab w:leader="none" w:pos="13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85" w:name="page86"/>
    <w:bookmarkEnd w:id="85"/>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42"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stockholders to realize value in a corporate transaction.</w:t>
      </w:r>
    </w:p>
    <w:p>
      <w:pPr>
        <w:spacing w:after="0" w:line="224" w:lineRule="exact"/>
        <w:rPr>
          <w:sz w:val="20"/>
          <w:szCs w:val="20"/>
          <w:color w:val="auto"/>
        </w:rPr>
      </w:pPr>
    </w:p>
    <w:p>
      <w:pPr>
        <w:jc w:val="both"/>
        <w:ind w:left="980" w:right="65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provides that the Court of Chancery of the State of Delaware and the federal district courts of the U.S. is the exclusive forum for substantially all disputes between us and our stockholders, which could limit our stockholders’ ability to obtain a favorable judicial forum for disputes with us or our directors, officers or employees.</w:t>
      </w:r>
    </w:p>
    <w:p>
      <w:pPr>
        <w:spacing w:after="0" w:line="53"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 This provision does not apply to claims brought to enforce a duty or liability created by the Exchange Act or any other claim for which the federal courts have exclusive jurisdiction. Our amended and restated certificate of incorporation provides further that the federal district courts of the U.S. is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legislation could adversely affect our business and financial condition.</w:t>
      </w:r>
    </w:p>
    <w:p>
      <w:pPr>
        <w:spacing w:after="0" w:line="101" w:lineRule="exact"/>
        <w:rPr>
          <w:sz w:val="20"/>
          <w:szCs w:val="20"/>
          <w:color w:val="auto"/>
        </w:rPr>
      </w:pPr>
    </w:p>
    <w:p>
      <w:pPr>
        <w:jc w:val="both"/>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The rules dealing with U.S. federal, state, and local and non-U.S. taxation are constantly under review by persons involved in the legislative process and by the Internal Revenue Service and the U.S. Treasury Department and other taxing authorities. For example, the OBBBA was signed into law on July 4, 2025 and made significant changes to the U.S. federal tax law. Changes to tax laws or tax rulings (which changes may have retroactive application) could adversely affect us or holders of our common stock. In recent years, many such changes have been made and changes are likely to continue to occur in the future. For example, under Section 174 of the IRC, in taxable years beginning after December 31, 2021, expenses that are incurred for research and development performed outside the U.S. will be capitalized and amortized.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It cannot be predicted whether, when, in what form, or with what effective dates, new tax laws may be enacted, or regulations and rulings may be promulgated or issued under existing or new tax laws, which could result in an increase in our or our shareholders’ tax liability or require changes in the manner in which we operate in order to minimize or mitigate any adverse effects of changes in tax law or in the interpretation thereof.</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86" w:name="page87"/>
    <w:bookmarkEnd w:id="86"/>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Rising inflation rates may result in increased operating costs and reduced liquidity, and affect our ability to access credit.</w:t>
      </w:r>
    </w:p>
    <w:p>
      <w:pPr>
        <w:spacing w:after="0" w:line="101" w:lineRule="exact"/>
        <w:rPr>
          <w:sz w:val="20"/>
          <w:szCs w:val="20"/>
          <w:color w:val="auto"/>
        </w:rPr>
      </w:pPr>
    </w:p>
    <w:p>
      <w:pPr>
        <w:jc w:val="both"/>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Increased inflation may result in increased operating costs (including our labor costs), reduced liquidity, and limitations on our ability to access credit or otherwise raise debt and equity capital. In addition, the U.S. Federal Reserve System has repeatedly raised, and may continue to raise, interest rates in response to concerns about inflation. Increases in interest rates, especially if coupled with reduced government spending and volatility in financial markets, may have the effect of further increasing economic uncertainty and heightening these risks.</w:t>
      </w:r>
    </w:p>
    <w:p>
      <w:pPr>
        <w:spacing w:after="0" w:line="2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i w:val="1"/>
          <w:iCs w:val="1"/>
          <w:color w:val="auto"/>
        </w:rPr>
        <w:t>We could be subject to securities class action litigation.</w:t>
      </w:r>
    </w:p>
    <w:p>
      <w:pPr>
        <w:spacing w:after="0" w:line="101" w:lineRule="exact"/>
        <w:rPr>
          <w:sz w:val="20"/>
          <w:szCs w:val="20"/>
          <w:color w:val="auto"/>
        </w:rPr>
      </w:pPr>
    </w:p>
    <w:p>
      <w:pPr>
        <w:jc w:val="both"/>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harm our business.</w:t>
      </w:r>
    </w:p>
    <w:p>
      <w:pPr>
        <w:spacing w:after="0" w:line="222"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 xml:space="preserve">Business disruptions could seriously harm our future revenue and financial condition and increase our costs and expenses. </w:t>
      </w:r>
      <w:r>
        <w:rPr>
          <w:rFonts w:ascii="Times New Roman" w:cs="Times New Roman" w:eastAsia="Times New Roman" w:hAnsi="Times New Roman"/>
          <w:sz w:val="14"/>
          <w:szCs w:val="14"/>
          <w:color w:val="auto"/>
        </w:rPr>
        <w:t>Our operations, and those of our CROs, CDMOs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Our ability to obtain clinical supplies of our product candidates could be disrupted if the operations of these suppliers are affected by a man-made or natural disaster or other business interruption.</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87" w:name="page88"/>
    <w:bookmarkEnd w:id="87"/>
    <w:p>
      <w:pPr>
        <w:ind w:left="6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Recent Sale of Unregistered Equity Securities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Not Applicable</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99" w:lineRule="exact"/>
        <w:rPr>
          <w:sz w:val="20"/>
          <w:szCs w:val="20"/>
          <w:color w:val="auto"/>
        </w:rPr>
      </w:pPr>
    </w:p>
    <w:p>
      <w:pPr>
        <w:jc w:val="both"/>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In July 2021, our Registration Statement on Form S-1/A (No. 333-255491) was declared effective by the SEC pursuant to which we issued and sold an aggregate of 6,666,667 shares of Voting Common Stock at a public offering price of $15.00 per share for aggregate net cash proceeds of $89.6 million, after deducting $7.0 million underwriting discounts and commissions, and $3.4 million in offering costs borne by us. No payments for such expenses were made directly or indirectly to (i) any of our officers or directors or their associates, (ii) any persons owning 10% or more of any class of our equity securities or (iii) any of our affiliates. The sale and issuance of 6,666,667 shares closed on July 20, 2021. Morgan Stanley &amp; Co. LLC, Jefferies LLC, Cowen and Company LLC and Barclays Capital Inc. acted as joint book-running managers for the offering. There has been no material change in the planned use of proceeds from our initial public offering as described in our final prospectus filed pursuant to Rule 424(b)(4) under the Securities Act with the SEC.</w:t>
      </w:r>
    </w:p>
    <w:p>
      <w:pPr>
        <w:spacing w:after="0" w:line="200" w:lineRule="exact"/>
        <w:rPr>
          <w:sz w:val="20"/>
          <w:szCs w:val="20"/>
          <w:color w:val="auto"/>
        </w:rPr>
      </w:pP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7" w:lineRule="exact"/>
        <w:rPr>
          <w:sz w:val="20"/>
          <w:szCs w:val="20"/>
          <w:color w:val="auto"/>
        </w:rPr>
      </w:pPr>
    </w:p>
    <w:p>
      <w:pPr>
        <w:jc w:val="both"/>
        <w:ind w:left="640" w:right="659" w:firstLine="516"/>
        <w:spacing w:after="0" w:line="264" w:lineRule="auto"/>
        <w:rPr>
          <w:sz w:val="20"/>
          <w:szCs w:val="20"/>
          <w:color w:val="auto"/>
        </w:rPr>
      </w:pPr>
      <w:r>
        <w:rPr>
          <w:rFonts w:ascii="Times New Roman" w:cs="Times New Roman" w:eastAsia="Times New Roman" w:hAnsi="Times New Roman"/>
          <w:sz w:val="14"/>
          <w:szCs w:val="14"/>
          <w:color w:val="auto"/>
        </w:rPr>
        <w:t>The following table discloses any officer (as defined in Rule 16a-1(f) under the Securities Exchange Act of 1934, as amended) or director who adopted a Rule 10b5-1 trading arrangement or non-Rule 10b5-1 trading arrangement (as such terms are defined in Item 408 of Regulation S-K) during the three months ended March 31, 2026:</w:t>
      </w:r>
    </w:p>
    <w:p>
      <w:pPr>
        <w:spacing w:after="0" w:line="132" w:lineRule="exact"/>
        <w:rPr>
          <w:sz w:val="20"/>
          <w:szCs w:val="20"/>
          <w:color w:val="auto"/>
        </w:rPr>
      </w:pPr>
    </w:p>
    <w:tbl>
      <w:tblPr>
        <w:tblLayout w:type="fixed"/>
        <w:tblInd w:w="730" w:type="dxa"/>
        <w:tblCellMar>
          <w:top w:w="0" w:type="dxa"/>
          <w:left w:w="0" w:type="dxa"/>
          <w:bottom w:w="0" w:type="dxa"/>
          <w:right w:w="0" w:type="dxa"/>
        </w:tblCellMar>
      </w:tblPr>
      <w:tr>
        <w:trPr>
          <w:trHeight w:val="171"/>
        </w:trPr>
        <w:tc>
          <w:tcPr>
            <w:tcW w:w="11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380" w:type="dxa"/>
            <w:vAlign w:val="bottom"/>
            <w:tcBorders>
              <w:top w:val="single" w:sz="8" w:color="auto"/>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Type of Trading</w:t>
            </w: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Action Taken</w:t>
            </w: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Trading</w:t>
            </w:r>
          </w:p>
        </w:tc>
      </w:tr>
      <w:tr>
        <w:trPr>
          <w:trHeight w:val="172"/>
        </w:trPr>
        <w:tc>
          <w:tcPr>
            <w:tcW w:w="118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End</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r>
      <w:tr>
        <w:trPr>
          <w:trHeight w:val="172"/>
        </w:trPr>
        <w:tc>
          <w:tcPr>
            <w:tcW w:w="118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w:t>
            </w:r>
          </w:p>
        </w:tc>
        <w:tc>
          <w:tcPr>
            <w:tcW w:w="1900" w:type="dxa"/>
            <w:vAlign w:val="bottom"/>
            <w:tcBorders>
              <w:right w:val="single" w:sz="8" w:color="auto"/>
            </w:tcBorders>
          </w:tcPr>
          <w:p>
            <w:pPr>
              <w:spacing w:after="0"/>
              <w:rPr>
                <w:sz w:val="14"/>
                <w:szCs w:val="14"/>
                <w:color w:val="auto"/>
              </w:rPr>
            </w:pPr>
          </w:p>
        </w:tc>
      </w:tr>
      <w:tr>
        <w:trPr>
          <w:trHeight w:val="204"/>
        </w:trPr>
        <w:tc>
          <w:tcPr>
            <w:tcW w:w="1180" w:type="dxa"/>
            <w:vAlign w:val="bottom"/>
            <w:tcBorders>
              <w:left w:val="single" w:sz="8" w:color="auto"/>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1900" w:type="dxa"/>
            <w:vAlign w:val="bottom"/>
            <w:tcBorders>
              <w:bottom w:val="single" w:sz="8" w:color="auto"/>
              <w:right w:val="single" w:sz="8" w:color="auto"/>
            </w:tcBorders>
          </w:tcPr>
          <w:p>
            <w:pPr>
              <w:spacing w:after="0"/>
              <w:rPr>
                <w:sz w:val="17"/>
                <w:szCs w:val="17"/>
                <w:color w:val="auto"/>
              </w:rPr>
            </w:pPr>
          </w:p>
        </w:tc>
      </w:tr>
      <w:tr>
        <w:trPr>
          <w:trHeight w:val="133"/>
        </w:trPr>
        <w:tc>
          <w:tcPr>
            <w:tcW w:w="1180" w:type="dxa"/>
            <w:vAlign w:val="bottom"/>
            <w:tcBorders>
              <w:left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4"/>
                <w:szCs w:val="14"/>
                <w:color w:val="auto"/>
              </w:rPr>
              <w:t>Gavin</w:t>
            </w:r>
          </w:p>
        </w:tc>
        <w:tc>
          <w:tcPr>
            <w:tcW w:w="1380" w:type="dxa"/>
            <w:vAlign w:val="bottom"/>
            <w:tcBorders>
              <w:right w:val="single" w:sz="8" w:color="auto"/>
            </w:tcBorders>
          </w:tcPr>
          <w:p>
            <w:pPr>
              <w:jc w:val="center"/>
              <w:ind w:right="8"/>
              <w:spacing w:after="0" w:line="133" w:lineRule="exact"/>
              <w:rPr>
                <w:sz w:val="20"/>
                <w:szCs w:val="20"/>
                <w:color w:val="auto"/>
              </w:rPr>
            </w:pPr>
            <w:r>
              <w:rPr>
                <w:rFonts w:ascii="Times New Roman" w:cs="Times New Roman" w:eastAsia="Times New Roman" w:hAnsi="Times New Roman"/>
                <w:sz w:val="14"/>
                <w:szCs w:val="14"/>
                <w:color w:val="auto"/>
              </w:rPr>
              <w:t>Trading plan</w:t>
            </w:r>
          </w:p>
        </w:tc>
        <w:tc>
          <w:tcPr>
            <w:tcW w:w="100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Adoption (Ma</w:t>
            </w:r>
          </w:p>
        </w:tc>
        <w:tc>
          <w:tcPr>
            <w:tcW w:w="82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November</w:t>
            </w:r>
          </w:p>
        </w:tc>
        <w:tc>
          <w:tcPr>
            <w:tcW w:w="1320" w:type="dxa"/>
            <w:vAlign w:val="bottom"/>
            <w:tcBorders>
              <w:right w:val="single" w:sz="8" w:color="auto"/>
            </w:tcBorders>
          </w:tcPr>
          <w:p>
            <w:pPr>
              <w:jc w:val="right"/>
              <w:ind w:right="308"/>
              <w:spacing w:after="0" w:line="133" w:lineRule="exact"/>
              <w:rPr>
                <w:sz w:val="20"/>
                <w:szCs w:val="20"/>
                <w:color w:val="auto"/>
              </w:rPr>
            </w:pPr>
            <w:r>
              <w:rPr>
                <w:rFonts w:ascii="Times New Roman" w:cs="Times New Roman" w:eastAsia="Times New Roman" w:hAnsi="Times New Roman"/>
                <w:sz w:val="14"/>
                <w:szCs w:val="14"/>
                <w:color w:val="auto"/>
              </w:rPr>
              <w:t>1,521,518</w:t>
            </w:r>
          </w:p>
        </w:tc>
        <w:tc>
          <w:tcPr>
            <w:tcW w:w="190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Exercises of vested stock</w:t>
            </w:r>
          </w:p>
        </w:tc>
      </w:tr>
      <w:tr>
        <w:trPr>
          <w:trHeight w:val="170"/>
        </w:trPr>
        <w:tc>
          <w:tcPr>
            <w:tcW w:w="1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MacBeath</w:t>
            </w:r>
          </w:p>
        </w:tc>
        <w:tc>
          <w:tcPr>
            <w:tcW w:w="138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intended to satisfy</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rch 25, 2026)</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15, 2026</w:t>
            </w:r>
          </w:p>
        </w:tc>
        <w:tc>
          <w:tcPr>
            <w:tcW w:w="132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options and sales of shares of</w:t>
            </w:r>
          </w:p>
        </w:tc>
      </w:tr>
      <w:tr>
        <w:trPr>
          <w:trHeight w:val="172"/>
        </w:trPr>
        <w:tc>
          <w:tcPr>
            <w:tcW w:w="1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Chief Executive</w:t>
            </w:r>
          </w:p>
        </w:tc>
        <w:tc>
          <w:tcPr>
            <w:tcW w:w="138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the affirmative</w:t>
            </w:r>
          </w:p>
        </w:tc>
        <w:tc>
          <w:tcPr>
            <w:tcW w:w="100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Company’s common</w:t>
            </w:r>
          </w:p>
        </w:tc>
      </w:tr>
      <w:tr>
        <w:trPr>
          <w:trHeight w:val="172"/>
        </w:trPr>
        <w:tc>
          <w:tcPr>
            <w:tcW w:w="1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Officer and</w:t>
            </w:r>
          </w:p>
        </w:tc>
        <w:tc>
          <w:tcPr>
            <w:tcW w:w="138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defense conditions</w:t>
            </w:r>
          </w:p>
        </w:tc>
        <w:tc>
          <w:tcPr>
            <w:tcW w:w="100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stock pursuant to the terms of</w:t>
            </w:r>
          </w:p>
        </w:tc>
      </w:tr>
      <w:tr>
        <w:trPr>
          <w:trHeight w:val="174"/>
        </w:trPr>
        <w:tc>
          <w:tcPr>
            <w:tcW w:w="1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138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of Securities</w:t>
            </w:r>
          </w:p>
        </w:tc>
        <w:tc>
          <w:tcPr>
            <w:tcW w:w="10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trading plan</w:t>
            </w:r>
          </w:p>
        </w:tc>
      </w:tr>
      <w:tr>
        <w:trPr>
          <w:trHeight w:val="172"/>
        </w:trPr>
        <w:tc>
          <w:tcPr>
            <w:tcW w:w="118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Exchange Act Rule</w:t>
            </w:r>
          </w:p>
        </w:tc>
        <w:tc>
          <w:tcPr>
            <w:tcW w:w="100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r>
      <w:tr>
        <w:trPr>
          <w:trHeight w:val="186"/>
        </w:trPr>
        <w:tc>
          <w:tcPr>
            <w:tcW w:w="1180" w:type="dxa"/>
            <w:vAlign w:val="bottom"/>
            <w:tcBorders>
              <w:left w:val="single" w:sz="8" w:color="auto"/>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10b5- 1(c)</w:t>
            </w:r>
          </w:p>
        </w:tc>
        <w:tc>
          <w:tcPr>
            <w:tcW w:w="10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tcPr>
          <w:p>
            <w:pPr>
              <w:spacing w:after="0"/>
              <w:rPr>
                <w:sz w:val="16"/>
                <w:szCs w:val="16"/>
                <w:color w:val="auto"/>
              </w:rPr>
            </w:pPr>
          </w:p>
        </w:tc>
      </w:tr>
      <w:tr>
        <w:trPr>
          <w:trHeight w:val="146"/>
        </w:trPr>
        <w:tc>
          <w:tcPr>
            <w:tcW w:w="1180" w:type="dxa"/>
            <w:vAlign w:val="bottom"/>
            <w:tcBorders>
              <w:left w:val="single" w:sz="8" w:color="auto"/>
              <w:right w:val="single" w:sz="8" w:color="auto"/>
            </w:tcBorders>
          </w:tcPr>
          <w:p>
            <w:pPr>
              <w:ind w:left="100"/>
              <w:spacing w:after="0" w:line="147" w:lineRule="exact"/>
              <w:rPr>
                <w:sz w:val="20"/>
                <w:szCs w:val="20"/>
                <w:color w:val="auto"/>
              </w:rPr>
            </w:pPr>
            <w:r>
              <w:rPr>
                <w:rFonts w:ascii="Times New Roman" w:cs="Times New Roman" w:eastAsia="Times New Roman" w:hAnsi="Times New Roman"/>
                <w:sz w:val="14"/>
                <w:szCs w:val="14"/>
                <w:color w:val="auto"/>
              </w:rPr>
              <w:t>Zoran Zdraveski</w:t>
            </w:r>
          </w:p>
        </w:tc>
        <w:tc>
          <w:tcPr>
            <w:tcW w:w="1380" w:type="dxa"/>
            <w:vAlign w:val="bottom"/>
            <w:tcBorders>
              <w:right w:val="single" w:sz="8" w:color="auto"/>
            </w:tcBorders>
          </w:tcPr>
          <w:p>
            <w:pPr>
              <w:jc w:val="center"/>
              <w:ind w:right="8"/>
              <w:spacing w:after="0" w:line="147" w:lineRule="exact"/>
              <w:rPr>
                <w:sz w:val="20"/>
                <w:szCs w:val="20"/>
                <w:color w:val="auto"/>
              </w:rPr>
            </w:pPr>
            <w:r>
              <w:rPr>
                <w:rFonts w:ascii="Times New Roman" w:cs="Times New Roman" w:eastAsia="Times New Roman" w:hAnsi="Times New Roman"/>
                <w:sz w:val="14"/>
                <w:szCs w:val="14"/>
                <w:color w:val="auto"/>
              </w:rPr>
              <w:t>Trading plan</w:t>
            </w:r>
          </w:p>
        </w:tc>
        <w:tc>
          <w:tcPr>
            <w:tcW w:w="100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Adoption (Ma</w:t>
            </w:r>
          </w:p>
        </w:tc>
        <w:tc>
          <w:tcPr>
            <w:tcW w:w="8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November</w:t>
            </w:r>
          </w:p>
        </w:tc>
        <w:tc>
          <w:tcPr>
            <w:tcW w:w="1320" w:type="dxa"/>
            <w:vAlign w:val="bottom"/>
            <w:tcBorders>
              <w:right w:val="single" w:sz="8" w:color="auto"/>
            </w:tcBorders>
          </w:tcPr>
          <w:p>
            <w:pPr>
              <w:jc w:val="right"/>
              <w:ind w:right="368"/>
              <w:spacing w:after="0" w:line="147" w:lineRule="exact"/>
              <w:rPr>
                <w:sz w:val="20"/>
                <w:szCs w:val="20"/>
                <w:color w:val="auto"/>
              </w:rPr>
            </w:pPr>
            <w:r>
              <w:rPr>
                <w:rFonts w:ascii="Times New Roman" w:cs="Times New Roman" w:eastAsia="Times New Roman" w:hAnsi="Times New Roman"/>
                <w:sz w:val="14"/>
                <w:szCs w:val="14"/>
                <w:color w:val="auto"/>
              </w:rPr>
              <w:t>547,477</w:t>
            </w:r>
          </w:p>
        </w:tc>
        <w:tc>
          <w:tcPr>
            <w:tcW w:w="190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Exercises of vested stock</w:t>
            </w:r>
          </w:p>
        </w:tc>
      </w:tr>
      <w:tr>
        <w:trPr>
          <w:trHeight w:val="172"/>
        </w:trPr>
        <w:tc>
          <w:tcPr>
            <w:tcW w:w="1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Chief Legal and</w:t>
            </w:r>
          </w:p>
        </w:tc>
        <w:tc>
          <w:tcPr>
            <w:tcW w:w="138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intended to satisfy</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rch 24, 2026)</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15, 2026</w:t>
            </w:r>
          </w:p>
        </w:tc>
        <w:tc>
          <w:tcPr>
            <w:tcW w:w="132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options and sales of shares of</w:t>
            </w:r>
          </w:p>
        </w:tc>
      </w:tr>
      <w:tr>
        <w:trPr>
          <w:trHeight w:val="174"/>
        </w:trPr>
        <w:tc>
          <w:tcPr>
            <w:tcW w:w="1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i w:val="1"/>
                <w:iCs w:val="1"/>
                <w:color w:val="auto"/>
              </w:rPr>
              <w:t>Strategy Officer</w:t>
            </w:r>
          </w:p>
        </w:tc>
        <w:tc>
          <w:tcPr>
            <w:tcW w:w="138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the affirmative</w:t>
            </w:r>
          </w:p>
        </w:tc>
        <w:tc>
          <w:tcPr>
            <w:tcW w:w="10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Company’s common</w:t>
            </w:r>
          </w:p>
        </w:tc>
      </w:tr>
      <w:tr>
        <w:trPr>
          <w:trHeight w:val="172"/>
        </w:trPr>
        <w:tc>
          <w:tcPr>
            <w:tcW w:w="118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defense conditions</w:t>
            </w:r>
          </w:p>
        </w:tc>
        <w:tc>
          <w:tcPr>
            <w:tcW w:w="100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stock pursuant to the terms of</w:t>
            </w:r>
          </w:p>
        </w:tc>
      </w:tr>
      <w:tr>
        <w:trPr>
          <w:trHeight w:val="172"/>
        </w:trPr>
        <w:tc>
          <w:tcPr>
            <w:tcW w:w="118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of Securities</w:t>
            </w:r>
          </w:p>
        </w:tc>
        <w:tc>
          <w:tcPr>
            <w:tcW w:w="100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trading plan</w:t>
            </w:r>
          </w:p>
        </w:tc>
      </w:tr>
      <w:tr>
        <w:trPr>
          <w:trHeight w:val="172"/>
        </w:trPr>
        <w:tc>
          <w:tcPr>
            <w:tcW w:w="1180" w:type="dxa"/>
            <w:vAlign w:val="bottom"/>
            <w:tcBorders>
              <w:left w:val="single" w:sz="8" w:color="auto"/>
              <w:right w:val="single" w:sz="8" w:color="auto"/>
            </w:tcBorders>
          </w:tcPr>
          <w:p>
            <w:pPr>
              <w:spacing w:after="0"/>
              <w:rPr>
                <w:sz w:val="14"/>
                <w:szCs w:val="14"/>
                <w:color w:val="auto"/>
              </w:rPr>
            </w:pPr>
          </w:p>
        </w:tc>
        <w:tc>
          <w:tcPr>
            <w:tcW w:w="138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Exchange Act Rule</w:t>
            </w:r>
          </w:p>
        </w:tc>
        <w:tc>
          <w:tcPr>
            <w:tcW w:w="100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r>
      <w:tr>
        <w:trPr>
          <w:trHeight w:val="186"/>
        </w:trPr>
        <w:tc>
          <w:tcPr>
            <w:tcW w:w="1180" w:type="dxa"/>
            <w:vAlign w:val="bottom"/>
            <w:tcBorders>
              <w:left w:val="single" w:sz="8" w:color="auto"/>
              <w:bottom w:val="single" w:sz="8" w:color="auto"/>
              <w:right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10b5- 1(c)</w:t>
            </w:r>
          </w:p>
        </w:tc>
        <w:tc>
          <w:tcPr>
            <w:tcW w:w="10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tcPr>
          <w:p>
            <w:pPr>
              <w:spacing w:after="0"/>
              <w:rPr>
                <w:sz w:val="16"/>
                <w:szCs w:val="16"/>
                <w:color w:val="auto"/>
              </w:rPr>
            </w:pPr>
          </w:p>
        </w:tc>
      </w:tr>
    </w:tbl>
    <w:p>
      <w:pPr>
        <w:spacing w:after="0" w:line="211" w:lineRule="exact"/>
        <w:rPr>
          <w:sz w:val="20"/>
          <w:szCs w:val="20"/>
          <w:color w:val="auto"/>
        </w:rPr>
      </w:pPr>
    </w:p>
    <w:p>
      <w:pPr>
        <w:jc w:val="both"/>
        <w:ind w:left="640" w:right="699"/>
        <w:spacing w:after="0" w:line="274" w:lineRule="auto"/>
        <w:rPr>
          <w:sz w:val="20"/>
          <w:szCs w:val="20"/>
          <w:color w:val="auto"/>
        </w:rPr>
      </w:pPr>
      <w:r>
        <w:rPr>
          <w:rFonts w:ascii="Times New Roman" w:cs="Times New Roman" w:eastAsia="Times New Roman" w:hAnsi="Times New Roman"/>
          <w:sz w:val="14"/>
          <w:szCs w:val="14"/>
          <w:color w:val="auto"/>
        </w:rPr>
        <w:t>Other than as disclosed above, no other officer or director adopted, modified or terminated a Rule 10b5-1 trading arrangement or non-Rule 10b5-1 trading arrangement (as such terms are defined in Item 408 of Regulation S-K) during the three months ended March 31, 2026.</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52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10"/>
                <w:szCs w:val="10"/>
                <w:color w:val="auto"/>
              </w:rPr>
            </w:pPr>
          </w:p>
        </w:tc>
        <w:tc>
          <w:tcPr>
            <w:tcW w:w="7560" w:type="dxa"/>
            <w:vAlign w:val="bottom"/>
            <w:gridSpan w:val="4"/>
            <w:vMerge w:val="restart"/>
          </w:tcPr>
          <w:p>
            <w:pPr>
              <w:ind w:left="32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7"/>
        </w:trPr>
        <w:tc>
          <w:tcPr>
            <w:tcW w:w="5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 w:type="dxa"/>
            <w:vAlign w:val="bottom"/>
          </w:tcPr>
          <w:p>
            <w:pPr>
              <w:spacing w:after="0"/>
              <w:rPr>
                <w:sz w:val="11"/>
                <w:szCs w:val="11"/>
                <w:color w:val="auto"/>
              </w:rPr>
            </w:pPr>
          </w:p>
        </w:tc>
        <w:tc>
          <w:tcPr>
            <w:tcW w:w="75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520" w:type="dxa"/>
            <w:vAlign w:val="bottom"/>
          </w:tcPr>
          <w:p>
            <w:pPr>
              <w:spacing w:after="0"/>
              <w:rPr>
                <w:sz w:val="11"/>
                <w:szCs w:val="11"/>
                <w:color w:val="auto"/>
              </w:rPr>
            </w:pPr>
          </w:p>
        </w:tc>
        <w:tc>
          <w:tcPr>
            <w:tcW w:w="620" w:type="dxa"/>
            <w:vAlign w:val="bottom"/>
            <w:tcBorders>
              <w:top w:val="single" w:sz="8" w:color="auto"/>
            </w:tcBorders>
          </w:tcPr>
          <w:p>
            <w:pPr>
              <w:jc w:val="right"/>
              <w:ind w:right="378"/>
              <w:spacing w:after="0" w:line="131" w:lineRule="exact"/>
              <w:rPr>
                <w:sz w:val="20"/>
                <w:szCs w:val="20"/>
                <w:color w:val="auto"/>
              </w:rPr>
            </w:pPr>
            <w:r>
              <w:rPr>
                <w:rFonts w:ascii="Times New Roman" w:cs="Times New Roman" w:eastAsia="Times New Roman" w:hAnsi="Times New Roman"/>
                <w:sz w:val="14"/>
                <w:szCs w:val="14"/>
                <w:color w:val="auto"/>
                <w:w w:val="91"/>
              </w:rPr>
              <w:t>3.1</w:t>
            </w:r>
          </w:p>
        </w:tc>
        <w:tc>
          <w:tcPr>
            <w:tcW w:w="80" w:type="dxa"/>
            <w:vAlign w:val="bottom"/>
          </w:tcPr>
          <w:p>
            <w:pPr>
              <w:spacing w:after="0"/>
              <w:rPr>
                <w:sz w:val="11"/>
                <w:szCs w:val="11"/>
                <w:color w:val="auto"/>
              </w:rPr>
            </w:pPr>
          </w:p>
        </w:tc>
        <w:tc>
          <w:tcPr>
            <w:tcW w:w="6960" w:type="dxa"/>
            <w:vAlign w:val="bottom"/>
            <w:tcBorders>
              <w:top w:val="single" w:sz="8" w:color="auto"/>
              <w:bottom w:val="single" w:sz="8" w:color="0000FF"/>
            </w:tcBorders>
            <w:gridSpan w:val="2"/>
          </w:tcPr>
          <w:p>
            <w:pPr>
              <w:spacing w:after="0" w:line="131" w:lineRule="exact"/>
              <w:rPr>
                <w:rFonts w:ascii="Times New Roman" w:cs="Times New Roman" w:eastAsia="Times New Roman" w:hAnsi="Times New Roman"/>
                <w:sz w:val="14"/>
                <w:szCs w:val="14"/>
                <w:color w:val="0000FF"/>
              </w:rPr>
            </w:pPr>
            <w:hyperlink r:id="rId209">
              <w:r>
                <w:rPr>
                  <w:rFonts w:ascii="Times New Roman" w:cs="Times New Roman" w:eastAsia="Times New Roman" w:hAnsi="Times New Roman"/>
                  <w:sz w:val="14"/>
                  <w:szCs w:val="14"/>
                  <w:color w:val="0000FF"/>
                </w:rPr>
                <w:t>Amended and Restated Certificate of Incorporation of TScan Therapeutics, Inc. (incorporated by reference to Exhibit 3.1</w:t>
              </w:r>
            </w:hyperlink>
          </w:p>
        </w:tc>
        <w:tc>
          <w:tcPr>
            <w:tcW w:w="8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40" w:type="dxa"/>
            <w:vAlign w:val="bottom"/>
            <w:tcBorders>
              <w:bottom w:val="single" w:sz="8" w:color="0000FF"/>
            </w:tcBorders>
          </w:tcPr>
          <w:p>
            <w:pPr>
              <w:spacing w:after="0" w:line="152" w:lineRule="exact"/>
              <w:rPr>
                <w:rFonts w:ascii="Times New Roman" w:cs="Times New Roman" w:eastAsia="Times New Roman" w:hAnsi="Times New Roman"/>
                <w:sz w:val="14"/>
                <w:szCs w:val="14"/>
                <w:color w:val="0000FF"/>
              </w:rPr>
            </w:pPr>
            <w:hyperlink r:id="rId209">
              <w:r>
                <w:rPr>
                  <w:rFonts w:ascii="Times New Roman" w:cs="Times New Roman" w:eastAsia="Times New Roman" w:hAnsi="Times New Roman"/>
                  <w:sz w:val="14"/>
                  <w:szCs w:val="14"/>
                  <w:color w:val="0000FF"/>
                </w:rPr>
                <w:t>to the Registrant’s Current Report on Form 8-K, filed with the Securities and Exchange Commission on July 20, 2021).</w:t>
              </w:r>
            </w:hyperlink>
          </w:p>
        </w:tc>
        <w:tc>
          <w:tcPr>
            <w:tcW w:w="7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66"/>
        </w:trPr>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920" w:type="dxa"/>
            <w:vAlign w:val="bottom"/>
            <w:gridSpan w:val="2"/>
          </w:tcPr>
          <w:p>
            <w:pPr>
              <w:jc w:val="right"/>
              <w:ind w:right="3533"/>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88" w:name="page89"/>
    <w:bookmarkEnd w:id="88"/>
    <w:tbl>
      <w:tblPr>
        <w:tblLayout w:type="fixed"/>
        <w:tblInd w:w="64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692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Amended and Restated Bylaws of TScan Therapeutics, Inc. (incorporated by reference to Exhibit 3.2 to the Registrant’s</w:t>
              </w:r>
            </w:hyperlink>
          </w:p>
        </w:tc>
        <w:tc>
          <w:tcPr>
            <w:tcW w:w="100" w:type="dxa"/>
            <w:vAlign w:val="bottom"/>
          </w:tcPr>
          <w:p>
            <w:pPr>
              <w:spacing w:after="0"/>
              <w:rPr>
                <w:sz w:val="13"/>
                <w:szCs w:val="13"/>
                <w:color w:val="auto"/>
              </w:rPr>
            </w:pPr>
          </w:p>
        </w:tc>
      </w:tr>
      <w:tr>
        <w:trPr>
          <w:trHeight w:val="152"/>
        </w:trPr>
        <w:tc>
          <w:tcPr>
            <w:tcW w:w="700" w:type="dxa"/>
            <w:vAlign w:val="bottom"/>
          </w:tcPr>
          <w:p>
            <w:pPr>
              <w:spacing w:after="0"/>
              <w:rPr>
                <w:sz w:val="13"/>
                <w:szCs w:val="13"/>
                <w:color w:val="auto"/>
              </w:rPr>
            </w:pPr>
          </w:p>
        </w:tc>
        <w:tc>
          <w:tcPr>
            <w:tcW w:w="5760" w:type="dxa"/>
            <w:vAlign w:val="bottom"/>
            <w:tcBorders>
              <w:bottom w:val="single" w:sz="8" w:color="0000FF"/>
            </w:tcBorders>
            <w:gridSpan w:val="5"/>
          </w:tcPr>
          <w:p>
            <w:pPr>
              <w:spacing w:after="0" w:line="152" w:lineRule="exact"/>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Current Report on Form 8-K, filed with the Securities and Exchange Commission on July 20, 2021).</w:t>
              </w:r>
            </w:hyperlink>
          </w:p>
        </w:tc>
        <w:tc>
          <w:tcPr>
            <w:tcW w:w="20" w:type="dxa"/>
            <w:vAlign w:val="bottom"/>
            <w:tcBorders>
              <w:bottom w:val="single" w:sz="8" w:color="0000EE"/>
            </w:tcBorders>
          </w:tcPr>
          <w:p>
            <w:pPr>
              <w:spacing w:after="0"/>
              <w:rPr>
                <w:sz w:val="13"/>
                <w:szCs w:val="13"/>
                <w:color w:val="auto"/>
              </w:rPr>
            </w:pPr>
          </w:p>
        </w:tc>
        <w:tc>
          <w:tcPr>
            <w:tcW w:w="1240" w:type="dxa"/>
            <w:vAlign w:val="bottom"/>
            <w:gridSpan w:val="6"/>
          </w:tcPr>
          <w:p>
            <w:pPr>
              <w:spacing w:after="0"/>
              <w:rPr>
                <w:sz w:val="13"/>
                <w:szCs w:val="13"/>
                <w:color w:val="auto"/>
              </w:rPr>
            </w:pPr>
          </w:p>
        </w:tc>
      </w:tr>
      <w:tr>
        <w:trPr>
          <w:trHeight w:val="248"/>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70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under the Securities Exchange Act</w:t>
            </w:r>
          </w:p>
        </w:tc>
      </w:tr>
      <w:tr>
        <w:trPr>
          <w:trHeight w:val="152"/>
        </w:trPr>
        <w:tc>
          <w:tcPr>
            <w:tcW w:w="700" w:type="dxa"/>
            <w:vAlign w:val="bottom"/>
          </w:tcPr>
          <w:p>
            <w:pPr>
              <w:spacing w:after="0"/>
              <w:rPr>
                <w:sz w:val="13"/>
                <w:szCs w:val="13"/>
                <w:color w:val="auto"/>
              </w:rPr>
            </w:pPr>
          </w:p>
        </w:tc>
        <w:tc>
          <w:tcPr>
            <w:tcW w:w="4660" w:type="dxa"/>
            <w:vAlign w:val="bottom"/>
            <w:tcBorders>
              <w:bottom w:val="single" w:sz="8" w:color="0000EE"/>
            </w:tcBorders>
            <w:gridSpan w:val="4"/>
          </w:tcPr>
          <w:p>
            <w:pPr>
              <w:spacing w:after="0" w:line="152" w:lineRule="exact"/>
              <w:rPr>
                <w:sz w:val="20"/>
                <w:szCs w:val="20"/>
                <w:color w:val="auto"/>
              </w:rPr>
            </w:pPr>
            <w:r>
              <w:rPr>
                <w:rFonts w:ascii="Times New Roman" w:cs="Times New Roman" w:eastAsia="Times New Roman" w:hAnsi="Times New Roman"/>
                <w:sz w:val="14"/>
                <w:szCs w:val="14"/>
                <w:color w:val="0000FF"/>
              </w:rPr>
              <w:t>of 1934, as Adopted Pursuant to Section 302 of the Sarbanes-Oxley Act of 2002.</w:t>
            </w:r>
          </w:p>
        </w:tc>
        <w:tc>
          <w:tcPr>
            <w:tcW w:w="2360" w:type="dxa"/>
            <w:vAlign w:val="bottom"/>
            <w:gridSpan w:val="8"/>
          </w:tcPr>
          <w:p>
            <w:pPr>
              <w:spacing w:after="0"/>
              <w:rPr>
                <w:sz w:val="13"/>
                <w:szCs w:val="13"/>
                <w:color w:val="auto"/>
              </w:rPr>
            </w:pPr>
          </w:p>
        </w:tc>
      </w:tr>
      <w:tr>
        <w:trPr>
          <w:trHeight w:val="248"/>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64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Financial and Accounting Officer Pursuant to Rules 13a-14(a) and 15d-14(a) under the</w:t>
            </w:r>
          </w:p>
        </w:tc>
        <w:tc>
          <w:tcPr>
            <w:tcW w:w="540" w:type="dxa"/>
            <w:vAlign w:val="bottom"/>
            <w:gridSpan w:val="4"/>
          </w:tcPr>
          <w:p>
            <w:pPr>
              <w:spacing w:after="0"/>
              <w:rPr>
                <w:sz w:val="21"/>
                <w:szCs w:val="21"/>
                <w:color w:val="auto"/>
              </w:rPr>
            </w:pPr>
          </w:p>
        </w:tc>
      </w:tr>
      <w:tr>
        <w:trPr>
          <w:trHeight w:val="152"/>
        </w:trPr>
        <w:tc>
          <w:tcPr>
            <w:tcW w:w="700" w:type="dxa"/>
            <w:vAlign w:val="bottom"/>
          </w:tcPr>
          <w:p>
            <w:pPr>
              <w:spacing w:after="0"/>
              <w:rPr>
                <w:sz w:val="13"/>
                <w:szCs w:val="13"/>
                <w:color w:val="auto"/>
              </w:rPr>
            </w:pPr>
          </w:p>
        </w:tc>
        <w:tc>
          <w:tcPr>
            <w:tcW w:w="7020" w:type="dxa"/>
            <w:vAlign w:val="bottom"/>
            <w:gridSpan w:val="12"/>
          </w:tcPr>
          <w:p>
            <w:pPr>
              <w:spacing w:after="0" w:line="152" w:lineRule="exact"/>
              <w:rPr>
                <w:sz w:val="20"/>
                <w:szCs w:val="20"/>
                <w:color w:val="auto"/>
              </w:rPr>
            </w:pPr>
            <w:r>
              <w:rPr>
                <w:rFonts w:ascii="Times New Roman" w:cs="Times New Roman" w:eastAsia="Times New Roman" w:hAnsi="Times New Roman"/>
                <w:sz w:val="14"/>
                <w:szCs w:val="14"/>
                <w:color w:val="0000FF"/>
              </w:rPr>
              <w:t>Securities Exchange Act of 1934, as Adopted Pursuant to Section 302 of the Sarbanes-Oxley Act of 2002.</w:t>
            </w:r>
          </w:p>
        </w:tc>
      </w:tr>
      <w:tr>
        <w:trPr>
          <w:trHeight w:val="20"/>
        </w:trPr>
        <w:tc>
          <w:tcPr>
            <w:tcW w:w="7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340" w:type="dxa"/>
            <w:vAlign w:val="bottom"/>
            <w:tcBorders>
              <w:right w:val="single" w:sz="8" w:color="0000EE"/>
            </w:tcBorders>
            <w:gridSpan w:val="4"/>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48"/>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68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 1350, as Adopted Pursuant to Section 906 of</w:t>
            </w:r>
          </w:p>
        </w:tc>
        <w:tc>
          <w:tcPr>
            <w:tcW w:w="160" w:type="dxa"/>
            <w:vAlign w:val="bottom"/>
            <w:gridSpan w:val="3"/>
          </w:tcPr>
          <w:p>
            <w:pPr>
              <w:spacing w:after="0"/>
              <w:rPr>
                <w:sz w:val="21"/>
                <w:szCs w:val="21"/>
                <w:color w:val="auto"/>
              </w:rPr>
            </w:pPr>
          </w:p>
        </w:tc>
      </w:tr>
      <w:tr>
        <w:trPr>
          <w:trHeight w:val="152"/>
        </w:trPr>
        <w:tc>
          <w:tcPr>
            <w:tcW w:w="700" w:type="dxa"/>
            <w:vAlign w:val="bottom"/>
          </w:tcPr>
          <w:p>
            <w:pPr>
              <w:spacing w:after="0"/>
              <w:rPr>
                <w:sz w:val="13"/>
                <w:szCs w:val="13"/>
                <w:color w:val="auto"/>
              </w:rPr>
            </w:pPr>
          </w:p>
        </w:tc>
        <w:tc>
          <w:tcPr>
            <w:tcW w:w="1880" w:type="dxa"/>
            <w:vAlign w:val="bottom"/>
            <w:tcBorders>
              <w:bottom w:val="single" w:sz="8" w:color="0000FF"/>
            </w:tcBorders>
          </w:tcPr>
          <w:p>
            <w:pPr>
              <w:spacing w:after="0" w:line="152" w:lineRule="exact"/>
              <w:rPr>
                <w:sz w:val="20"/>
                <w:szCs w:val="20"/>
                <w:color w:val="auto"/>
              </w:rPr>
            </w:pPr>
            <w:r>
              <w:rPr>
                <w:rFonts w:ascii="Times New Roman" w:cs="Times New Roman" w:eastAsia="Times New Roman" w:hAnsi="Times New Roman"/>
                <w:sz w:val="14"/>
                <w:szCs w:val="14"/>
                <w:color w:val="0000FF"/>
              </w:rPr>
              <w:t>the Sarbanes-Oxley Act of 2002.</w:t>
            </w:r>
          </w:p>
        </w:tc>
        <w:tc>
          <w:tcPr>
            <w:tcW w:w="20" w:type="dxa"/>
            <w:vAlign w:val="bottom"/>
            <w:tcBorders>
              <w:bottom w:val="single" w:sz="8" w:color="0000EE"/>
            </w:tcBorders>
          </w:tcPr>
          <w:p>
            <w:pPr>
              <w:spacing w:after="0"/>
              <w:rPr>
                <w:sz w:val="13"/>
                <w:szCs w:val="13"/>
                <w:color w:val="auto"/>
              </w:rPr>
            </w:pPr>
          </w:p>
        </w:tc>
        <w:tc>
          <w:tcPr>
            <w:tcW w:w="5120" w:type="dxa"/>
            <w:vAlign w:val="bottom"/>
            <w:gridSpan w:val="10"/>
          </w:tcPr>
          <w:p>
            <w:pPr>
              <w:spacing w:after="0"/>
              <w:rPr>
                <w:sz w:val="13"/>
                <w:szCs w:val="13"/>
                <w:color w:val="auto"/>
              </w:rPr>
            </w:pPr>
          </w:p>
        </w:tc>
      </w:tr>
      <w:tr>
        <w:trPr>
          <w:trHeight w:val="248"/>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69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Certification of Principal Financial and Accounting Officer Pursuant to 18 U.S.C. Section 1350, as Adopted Pursuant to</w:t>
            </w:r>
          </w:p>
        </w:tc>
        <w:tc>
          <w:tcPr>
            <w:tcW w:w="120" w:type="dxa"/>
            <w:vAlign w:val="bottom"/>
            <w:gridSpan w:val="2"/>
          </w:tcPr>
          <w:p>
            <w:pPr>
              <w:spacing w:after="0"/>
              <w:rPr>
                <w:sz w:val="21"/>
                <w:szCs w:val="21"/>
                <w:color w:val="auto"/>
              </w:rPr>
            </w:pPr>
          </w:p>
        </w:tc>
      </w:tr>
      <w:tr>
        <w:trPr>
          <w:trHeight w:val="152"/>
        </w:trPr>
        <w:tc>
          <w:tcPr>
            <w:tcW w:w="700" w:type="dxa"/>
            <w:vAlign w:val="bottom"/>
          </w:tcPr>
          <w:p>
            <w:pPr>
              <w:spacing w:after="0"/>
              <w:rPr>
                <w:sz w:val="13"/>
                <w:szCs w:val="13"/>
                <w:color w:val="auto"/>
              </w:rPr>
            </w:pPr>
          </w:p>
        </w:tc>
        <w:tc>
          <w:tcPr>
            <w:tcW w:w="7020" w:type="dxa"/>
            <w:vAlign w:val="bottom"/>
            <w:gridSpan w:val="12"/>
          </w:tcPr>
          <w:p>
            <w:pPr>
              <w:spacing w:after="0" w:line="152" w:lineRule="exact"/>
              <w:rPr>
                <w:sz w:val="20"/>
                <w:szCs w:val="20"/>
                <w:color w:val="auto"/>
              </w:rPr>
            </w:pPr>
            <w:r>
              <w:rPr>
                <w:rFonts w:ascii="Times New Roman" w:cs="Times New Roman" w:eastAsia="Times New Roman" w:hAnsi="Times New Roman"/>
                <w:sz w:val="14"/>
                <w:szCs w:val="14"/>
                <w:color w:val="0000FF"/>
              </w:rPr>
              <w:t>Section 906 of the Sarbanes-Oxley Act of 2002.</w:t>
            </w:r>
          </w:p>
        </w:tc>
      </w:tr>
      <w:tr>
        <w:trPr>
          <w:trHeight w:val="20"/>
        </w:trPr>
        <w:tc>
          <w:tcPr>
            <w:tcW w:w="700" w:type="dxa"/>
            <w:vAlign w:val="bottom"/>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4280" w:type="dxa"/>
            <w:vAlign w:val="bottom"/>
            <w:gridSpan w:val="9"/>
          </w:tcPr>
          <w:p>
            <w:pPr>
              <w:spacing w:after="0" w:line="20" w:lineRule="exact"/>
              <w:rPr>
                <w:sz w:val="1"/>
                <w:szCs w:val="1"/>
                <w:color w:val="auto"/>
              </w:rPr>
            </w:pPr>
          </w:p>
        </w:tc>
      </w:tr>
      <w:tr>
        <w:trPr>
          <w:trHeight w:val="266"/>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70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XBRL tags</w:t>
            </w:r>
          </w:p>
        </w:tc>
      </w:tr>
      <w:tr>
        <w:trPr>
          <w:trHeight w:val="186"/>
        </w:trPr>
        <w:tc>
          <w:tcPr>
            <w:tcW w:w="700" w:type="dxa"/>
            <w:vAlign w:val="bottom"/>
          </w:tcPr>
          <w:p>
            <w:pPr>
              <w:spacing w:after="0"/>
              <w:rPr>
                <w:sz w:val="16"/>
                <w:szCs w:val="16"/>
                <w:color w:val="auto"/>
              </w:rPr>
            </w:pPr>
          </w:p>
        </w:tc>
        <w:tc>
          <w:tcPr>
            <w:tcW w:w="70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are embedded within the Inline XBRL document.</w:t>
            </w:r>
          </w:p>
        </w:tc>
      </w:tr>
      <w:tr>
        <w:trPr>
          <w:trHeight w:val="268"/>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70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68"/>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7020" w:type="dxa"/>
            <w:vAlign w:val="bottom"/>
            <w:gridSpan w:val="1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68580</wp:posOffset>
            </wp:positionV>
            <wp:extent cx="65468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654685" cy="6985"/>
                    </a:xfrm>
                    <a:prstGeom prst="rect">
                      <a:avLst/>
                    </a:prstGeom>
                    <a:noFill/>
                  </pic:spPr>
                </pic:pic>
              </a:graphicData>
            </a:graphic>
          </wp:anchor>
        </w:drawing>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 Filed herewith.</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05" w:right="1440"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9019"/>
          </w:cols>
          <w:pgMar w:left="1440" w:top="810"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Date: May 6, 2026</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Date: May 6, 2026</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3059"/>
        <w:spacing w:after="0"/>
        <w:rPr>
          <w:sz w:val="20"/>
          <w:szCs w:val="20"/>
          <w:color w:val="auto"/>
        </w:rPr>
      </w:pPr>
      <w:r>
        <w:rPr>
          <w:rFonts w:ascii="Times New Roman" w:cs="Times New Roman" w:eastAsia="Times New Roman" w:hAnsi="Times New Roman"/>
          <w:sz w:val="14"/>
          <w:szCs w:val="14"/>
          <w:color w:val="auto"/>
        </w:rPr>
        <w:t>TScan Therapeutics, Inc.</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6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/s/ Gavin MacBeath</w:t>
            </w:r>
          </w:p>
        </w:tc>
      </w:tr>
      <w:tr>
        <w:trPr>
          <w:trHeight w:val="146"/>
        </w:trPr>
        <w:tc>
          <w:tcPr>
            <w:tcW w:w="240" w:type="dxa"/>
            <w:vAlign w:val="bottom"/>
          </w:tcPr>
          <w:p>
            <w:pPr>
              <w:spacing w:after="0"/>
              <w:rPr>
                <w:sz w:val="12"/>
                <w:szCs w:val="12"/>
                <w:color w:val="auto"/>
              </w:rPr>
            </w:pPr>
          </w:p>
        </w:tc>
        <w:tc>
          <w:tcPr>
            <w:tcW w:w="362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Gavin MacBeath</w:t>
            </w:r>
          </w:p>
        </w:tc>
      </w:tr>
      <w:tr>
        <w:trPr>
          <w:trHeight w:val="172"/>
        </w:trPr>
        <w:tc>
          <w:tcPr>
            <w:tcW w:w="24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r>
      <w:tr>
        <w:trPr>
          <w:trHeight w:val="188"/>
        </w:trPr>
        <w:tc>
          <w:tcPr>
            <w:tcW w:w="24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tc>
      </w:tr>
      <w:tr>
        <w:trPr>
          <w:trHeight w:val="344"/>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6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color w:val="auto"/>
              </w:rPr>
              <w:t>/s/ Jason A. Amello</w:t>
            </w:r>
          </w:p>
        </w:tc>
      </w:tr>
      <w:tr>
        <w:trPr>
          <w:trHeight w:val="146"/>
        </w:trPr>
        <w:tc>
          <w:tcPr>
            <w:tcW w:w="240" w:type="dxa"/>
            <w:vAlign w:val="bottom"/>
          </w:tcPr>
          <w:p>
            <w:pPr>
              <w:spacing w:after="0"/>
              <w:rPr>
                <w:sz w:val="12"/>
                <w:szCs w:val="12"/>
                <w:color w:val="auto"/>
              </w:rPr>
            </w:pPr>
          </w:p>
        </w:tc>
        <w:tc>
          <w:tcPr>
            <w:tcW w:w="362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Jason A. Amello</w:t>
            </w:r>
          </w:p>
        </w:tc>
      </w:tr>
      <w:tr>
        <w:trPr>
          <w:trHeight w:val="172"/>
        </w:trPr>
        <w:tc>
          <w:tcPr>
            <w:tcW w:w="24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r>
        <w:trPr>
          <w:trHeight w:val="188"/>
        </w:trPr>
        <w:tc>
          <w:tcPr>
            <w:tcW w:w="24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tc>
      </w:tr>
    </w:tbl>
    <w:p>
      <w:pPr>
        <w:spacing w:after="0" w:line="200" w:lineRule="exact"/>
        <w:rPr>
          <w:sz w:val="20"/>
          <w:szCs w:val="20"/>
          <w:color w:val="auto"/>
        </w:rPr>
      </w:pPr>
    </w:p>
    <w:p>
      <w:pPr>
        <w:sectPr>
          <w:pgSz w:w="11900" w:h="16838" w:orient="portrait"/>
          <w:cols w:equalWidth="0" w:num="2">
            <w:col w:w="3800" w:space="720"/>
            <w:col w:w="4499"/>
          </w:cols>
          <w:pgMar w:left="1440" w:top="810" w:right="1440"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type w:val="continuous"/>
        </w:sectPr>
      </w:pPr>
    </w:p>
    <w:bookmarkStart w:id="90" w:name="page91"/>
    <w:bookmarkEnd w:id="90"/>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6" w:lineRule="exact"/>
        <w:rPr>
          <w:sz w:val="20"/>
          <w:szCs w:val="20"/>
          <w:color w:val="auto"/>
        </w:rPr>
      </w:pPr>
    </w:p>
    <w:p>
      <w:pPr>
        <w:jc w:val="center"/>
        <w:ind w:left="120" w:right="139"/>
        <w:spacing w:after="0" w:line="274" w:lineRule="auto"/>
        <w:rPr>
          <w:sz w:val="20"/>
          <w:szCs w:val="20"/>
          <w:color w:val="auto"/>
        </w:rPr>
      </w:pPr>
      <w:r>
        <w:rPr>
          <w:rFonts w:ascii="Times New Roman" w:cs="Times New Roman" w:eastAsia="Times New Roman" w:hAnsi="Times New Roman"/>
          <w:sz w:val="13"/>
          <w:szCs w:val="13"/>
          <w:b w:val="1"/>
          <w:bCs w:val="1"/>
          <w:color w:val="auto"/>
        </w:rPr>
        <w:t>CERTIFICATION PURSUANT TO RULE 13a-14(a) AND 15d-14(a) OF THE SECURITIES EXCHANGE ACT OF 1934, AS ADOPTED PURSUANT TO SECTION 302 OF THE SARBANES-OXLEY ACT OF 2002</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 Gavin MacBeath, certify that:</w:t>
      </w:r>
    </w:p>
    <w:p>
      <w:pPr>
        <w:spacing w:after="0" w:line="259" w:lineRule="exact"/>
        <w:rPr>
          <w:sz w:val="20"/>
          <w:szCs w:val="20"/>
          <w:color w:val="auto"/>
        </w:rPr>
      </w:pPr>
    </w:p>
    <w:p>
      <w:pPr>
        <w:ind w:left="1340" w:hanging="352"/>
        <w:spacing w:after="0"/>
        <w:tabs>
          <w:tab w:leader="none" w:pos="134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of TScan Therapeutics, Inc.;</w:t>
      </w:r>
    </w:p>
    <w:p>
      <w:pPr>
        <w:spacing w:after="0" w:line="258" w:lineRule="exact"/>
        <w:rPr>
          <w:rFonts w:ascii="Times New Roman" w:cs="Times New Roman" w:eastAsia="Times New Roman" w:hAnsi="Times New Roman"/>
          <w:sz w:val="13"/>
          <w:szCs w:val="13"/>
          <w:color w:val="auto"/>
        </w:rPr>
      </w:pPr>
    </w:p>
    <w:p>
      <w:pPr>
        <w:jc w:val="both"/>
        <w:ind w:left="1340" w:right="659" w:hanging="352"/>
        <w:spacing w:after="0" w:line="272" w:lineRule="auto"/>
        <w:tabs>
          <w:tab w:leader="none" w:pos="134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Times New Roman" w:cs="Times New Roman" w:eastAsia="Times New Roman" w:hAnsi="Times New Roman"/>
          <w:sz w:val="13"/>
          <w:szCs w:val="13"/>
          <w:color w:val="auto"/>
        </w:rPr>
      </w:pPr>
    </w:p>
    <w:p>
      <w:pPr>
        <w:ind w:left="1340" w:right="659" w:hanging="352"/>
        <w:spacing w:after="0" w:line="330" w:lineRule="auto"/>
        <w:tabs>
          <w:tab w:leader="none" w:pos="134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2"/>
          <w:szCs w:val="12"/>
          <w:color w:val="auto"/>
        </w:rPr>
      </w:pPr>
    </w:p>
    <w:p>
      <w:pPr>
        <w:jc w:val="both"/>
        <w:ind w:left="1340" w:right="639" w:hanging="352"/>
        <w:spacing w:after="0" w:line="272" w:lineRule="auto"/>
        <w:tabs>
          <w:tab w:leader="none" w:pos="134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Times New Roman" w:cs="Times New Roman" w:eastAsia="Times New Roman" w:hAnsi="Times New Roman"/>
          <w:sz w:val="13"/>
          <w:szCs w:val="13"/>
          <w:color w:val="auto"/>
        </w:rPr>
      </w:pPr>
    </w:p>
    <w:p>
      <w:pPr>
        <w:jc w:val="both"/>
        <w:ind w:left="1680" w:right="659" w:hanging="341"/>
        <w:spacing w:after="0" w:line="272" w:lineRule="auto"/>
        <w:tabs>
          <w:tab w:leader="none" w:pos="1680"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2" w:lineRule="exact"/>
        <w:rPr>
          <w:rFonts w:ascii="Times New Roman" w:cs="Times New Roman" w:eastAsia="Times New Roman" w:hAnsi="Times New Roman"/>
          <w:sz w:val="13"/>
          <w:szCs w:val="13"/>
          <w:color w:val="auto"/>
        </w:rPr>
      </w:pPr>
    </w:p>
    <w:p>
      <w:pPr>
        <w:jc w:val="both"/>
        <w:ind w:left="1680" w:right="659" w:hanging="341"/>
        <w:spacing w:after="0" w:line="272" w:lineRule="auto"/>
        <w:tabs>
          <w:tab w:leader="none" w:pos="1680"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Times New Roman" w:cs="Times New Roman" w:eastAsia="Times New Roman" w:hAnsi="Times New Roman"/>
          <w:sz w:val="13"/>
          <w:szCs w:val="13"/>
          <w:color w:val="auto"/>
        </w:rPr>
      </w:pPr>
    </w:p>
    <w:p>
      <w:pPr>
        <w:jc w:val="both"/>
        <w:ind w:left="1680" w:right="659" w:hanging="341"/>
        <w:spacing w:after="0" w:line="272" w:lineRule="auto"/>
        <w:tabs>
          <w:tab w:leader="none" w:pos="1680"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Times New Roman" w:cs="Times New Roman" w:eastAsia="Times New Roman" w:hAnsi="Times New Roman"/>
          <w:sz w:val="13"/>
          <w:szCs w:val="13"/>
          <w:color w:val="auto"/>
        </w:rPr>
      </w:pPr>
    </w:p>
    <w:p>
      <w:pPr>
        <w:jc w:val="both"/>
        <w:ind w:left="1680" w:right="659" w:hanging="341"/>
        <w:spacing w:after="0" w:line="272" w:lineRule="auto"/>
        <w:tabs>
          <w:tab w:leader="none" w:pos="1680"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2" w:lineRule="exact"/>
        <w:rPr>
          <w:rFonts w:ascii="Times New Roman" w:cs="Times New Roman" w:eastAsia="Times New Roman" w:hAnsi="Times New Roman"/>
          <w:sz w:val="13"/>
          <w:szCs w:val="13"/>
          <w:color w:val="auto"/>
        </w:rPr>
      </w:pPr>
    </w:p>
    <w:p>
      <w:pPr>
        <w:jc w:val="both"/>
        <w:ind w:left="1340" w:right="659" w:hanging="352"/>
        <w:spacing w:after="0" w:line="272" w:lineRule="auto"/>
        <w:tabs>
          <w:tab w:leader="none" w:pos="134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2" w:lineRule="exact"/>
        <w:rPr>
          <w:rFonts w:ascii="Times New Roman" w:cs="Times New Roman" w:eastAsia="Times New Roman" w:hAnsi="Times New Roman"/>
          <w:sz w:val="13"/>
          <w:szCs w:val="13"/>
          <w:color w:val="auto"/>
        </w:rPr>
      </w:pPr>
    </w:p>
    <w:p>
      <w:pPr>
        <w:jc w:val="both"/>
        <w:ind w:left="1680" w:right="659" w:hanging="341"/>
        <w:spacing w:after="0" w:line="272" w:lineRule="auto"/>
        <w:tabs>
          <w:tab w:leader="none" w:pos="1680"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Times New Roman" w:cs="Times New Roman" w:eastAsia="Times New Roman" w:hAnsi="Times New Roman"/>
          <w:sz w:val="13"/>
          <w:szCs w:val="13"/>
          <w:color w:val="auto"/>
        </w:rPr>
      </w:pPr>
    </w:p>
    <w:p>
      <w:pPr>
        <w:ind w:left="1680" w:right="659" w:hanging="341"/>
        <w:spacing w:after="0" w:line="286" w:lineRule="auto"/>
        <w:tabs>
          <w:tab w:leader="none" w:pos="1680"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26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Date: May 6, 2026</w:t>
            </w:r>
          </w:p>
        </w:tc>
        <w:tc>
          <w:tcPr>
            <w:tcW w:w="152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By:</w:t>
            </w:r>
          </w:p>
        </w:tc>
        <w:tc>
          <w:tcPr>
            <w:tcW w:w="46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 Gavin MacBeath</w:t>
            </w:r>
          </w:p>
        </w:tc>
      </w:tr>
      <w:tr>
        <w:trPr>
          <w:trHeight w:val="26"/>
        </w:trPr>
        <w:tc>
          <w:tcPr>
            <w:tcW w:w="2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90"/>
        </w:trPr>
        <w:tc>
          <w:tcPr>
            <w:tcW w:w="2660" w:type="dxa"/>
            <w:vAlign w:val="bottom"/>
          </w:tcPr>
          <w:p>
            <w:pPr>
              <w:spacing w:after="0"/>
              <w:rPr>
                <w:sz w:val="16"/>
                <w:szCs w:val="16"/>
                <w:color w:val="auto"/>
              </w:rPr>
            </w:pPr>
          </w:p>
        </w:tc>
        <w:tc>
          <w:tcPr>
            <w:tcW w:w="152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Name:</w:t>
            </w:r>
          </w:p>
        </w:tc>
        <w:tc>
          <w:tcPr>
            <w:tcW w:w="46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Gavin MacBeath</w:t>
            </w:r>
          </w:p>
        </w:tc>
      </w:tr>
      <w:tr>
        <w:trPr>
          <w:trHeight w:val="226"/>
        </w:trPr>
        <w:tc>
          <w:tcPr>
            <w:tcW w:w="2660" w:type="dxa"/>
            <w:vAlign w:val="bottom"/>
          </w:tcPr>
          <w:p>
            <w:pPr>
              <w:spacing w:after="0"/>
              <w:rPr>
                <w:sz w:val="19"/>
                <w:szCs w:val="19"/>
                <w:color w:val="auto"/>
              </w:rPr>
            </w:pPr>
          </w:p>
        </w:tc>
        <w:tc>
          <w:tcPr>
            <w:tcW w:w="152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Title:</w:t>
            </w:r>
          </w:p>
        </w:tc>
        <w:tc>
          <w:tcPr>
            <w:tcW w:w="46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226"/>
        </w:trPr>
        <w:tc>
          <w:tcPr>
            <w:tcW w:w="2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00" w:type="dxa"/>
            <w:vAlign w:val="bottom"/>
            <w:gridSpan w:val="2"/>
          </w:tcPr>
          <w:p>
            <w:pPr>
              <w:ind w:left="40"/>
              <w:spacing w:after="0"/>
              <w:rPr>
                <w:sz w:val="20"/>
                <w:szCs w:val="20"/>
                <w:color w:val="auto"/>
              </w:rPr>
            </w:pPr>
            <w:r>
              <w:rPr>
                <w:rFonts w:ascii="Times New Roman" w:cs="Times New Roman" w:eastAsia="Times New Roman" w:hAnsi="Times New Roman"/>
                <w:sz w:val="13"/>
                <w:szCs w:val="13"/>
                <w:i w:val="1"/>
                <w:iCs w:val="1"/>
                <w:color w:val="auto"/>
              </w:rPr>
              <w:t>(Principal Executive Officer)</w:t>
            </w:r>
          </w:p>
        </w:tc>
      </w:tr>
      <w:tr>
        <w:trPr>
          <w:trHeight w:val="1145"/>
        </w:trPr>
        <w:tc>
          <w:tcPr>
            <w:tcW w:w="26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91" w:name="page92"/>
    <w:bookmarkEnd w:id="91"/>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6" w:lineRule="exact"/>
        <w:rPr>
          <w:sz w:val="20"/>
          <w:szCs w:val="20"/>
          <w:color w:val="auto"/>
        </w:rPr>
      </w:pPr>
    </w:p>
    <w:p>
      <w:pPr>
        <w:jc w:val="center"/>
        <w:ind w:left="120" w:right="139"/>
        <w:spacing w:after="0" w:line="274" w:lineRule="auto"/>
        <w:rPr>
          <w:sz w:val="20"/>
          <w:szCs w:val="20"/>
          <w:color w:val="auto"/>
        </w:rPr>
      </w:pPr>
      <w:r>
        <w:rPr>
          <w:rFonts w:ascii="Times New Roman" w:cs="Times New Roman" w:eastAsia="Times New Roman" w:hAnsi="Times New Roman"/>
          <w:sz w:val="13"/>
          <w:szCs w:val="13"/>
          <w:b w:val="1"/>
          <w:bCs w:val="1"/>
          <w:color w:val="auto"/>
        </w:rPr>
        <w:t>CERTIFICATION PURSUANT TO RULE 13a-14(a) AND 15d-14(a) OF THE SECURITIES EXCHANGE ACT OF 1934, AS ADOPTED PURSUANT TO SECTION 302 OF THE SARBANES-OXLEY ACT OF 2002</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 Jason A. Amello, certify that:</w:t>
      </w:r>
    </w:p>
    <w:p>
      <w:pPr>
        <w:spacing w:after="0" w:line="259" w:lineRule="exact"/>
        <w:rPr>
          <w:sz w:val="20"/>
          <w:szCs w:val="20"/>
          <w:color w:val="auto"/>
        </w:rPr>
      </w:pPr>
    </w:p>
    <w:p>
      <w:pPr>
        <w:ind w:left="1340" w:hanging="352"/>
        <w:spacing w:after="0"/>
        <w:tabs>
          <w:tab w:leader="none" w:pos="13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of TScan Therapeutics, Inc.;</w:t>
      </w:r>
    </w:p>
    <w:p>
      <w:pPr>
        <w:spacing w:after="0" w:line="258" w:lineRule="exact"/>
        <w:rPr>
          <w:rFonts w:ascii="Times New Roman" w:cs="Times New Roman" w:eastAsia="Times New Roman" w:hAnsi="Times New Roman"/>
          <w:sz w:val="13"/>
          <w:szCs w:val="13"/>
          <w:color w:val="auto"/>
        </w:rPr>
      </w:pPr>
    </w:p>
    <w:p>
      <w:pPr>
        <w:jc w:val="both"/>
        <w:ind w:left="1340" w:right="659" w:hanging="352"/>
        <w:spacing w:after="0" w:line="272" w:lineRule="auto"/>
        <w:tabs>
          <w:tab w:leader="none" w:pos="13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2" w:lineRule="exact"/>
        <w:rPr>
          <w:rFonts w:ascii="Times New Roman" w:cs="Times New Roman" w:eastAsia="Times New Roman" w:hAnsi="Times New Roman"/>
          <w:sz w:val="13"/>
          <w:szCs w:val="13"/>
          <w:color w:val="auto"/>
        </w:rPr>
      </w:pPr>
    </w:p>
    <w:p>
      <w:pPr>
        <w:ind w:left="1340" w:right="659" w:hanging="352"/>
        <w:spacing w:after="0" w:line="330" w:lineRule="auto"/>
        <w:tabs>
          <w:tab w:leader="none" w:pos="134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2"/>
          <w:szCs w:val="12"/>
          <w:color w:val="auto"/>
        </w:rPr>
      </w:pPr>
    </w:p>
    <w:p>
      <w:pPr>
        <w:jc w:val="both"/>
        <w:ind w:left="1340" w:right="639" w:hanging="352"/>
        <w:spacing w:after="0" w:line="272" w:lineRule="auto"/>
        <w:tabs>
          <w:tab w:leader="none" w:pos="13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Times New Roman" w:cs="Times New Roman" w:eastAsia="Times New Roman" w:hAnsi="Times New Roman"/>
          <w:sz w:val="13"/>
          <w:szCs w:val="13"/>
          <w:color w:val="auto"/>
        </w:rPr>
      </w:pPr>
    </w:p>
    <w:p>
      <w:pPr>
        <w:jc w:val="both"/>
        <w:ind w:left="1680" w:right="659" w:hanging="341"/>
        <w:spacing w:after="0" w:line="272" w:lineRule="auto"/>
        <w:tabs>
          <w:tab w:leader="none" w:pos="1680" w:val="left"/>
        </w:tabs>
        <w:numPr>
          <w:ilvl w:val="1"/>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2" w:lineRule="exact"/>
        <w:rPr>
          <w:rFonts w:ascii="Times New Roman" w:cs="Times New Roman" w:eastAsia="Times New Roman" w:hAnsi="Times New Roman"/>
          <w:sz w:val="13"/>
          <w:szCs w:val="13"/>
          <w:color w:val="auto"/>
        </w:rPr>
      </w:pPr>
    </w:p>
    <w:p>
      <w:pPr>
        <w:jc w:val="both"/>
        <w:ind w:left="1680" w:right="659" w:hanging="341"/>
        <w:spacing w:after="0" w:line="272" w:lineRule="auto"/>
        <w:tabs>
          <w:tab w:leader="none" w:pos="1680" w:val="left"/>
        </w:tabs>
        <w:numPr>
          <w:ilvl w:val="1"/>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Times New Roman" w:cs="Times New Roman" w:eastAsia="Times New Roman" w:hAnsi="Times New Roman"/>
          <w:sz w:val="13"/>
          <w:szCs w:val="13"/>
          <w:color w:val="auto"/>
        </w:rPr>
      </w:pPr>
    </w:p>
    <w:p>
      <w:pPr>
        <w:jc w:val="both"/>
        <w:ind w:left="1680" w:right="659" w:hanging="341"/>
        <w:spacing w:after="0" w:line="272" w:lineRule="auto"/>
        <w:tabs>
          <w:tab w:leader="none" w:pos="1680" w:val="left"/>
        </w:tabs>
        <w:numPr>
          <w:ilvl w:val="1"/>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Times New Roman" w:cs="Times New Roman" w:eastAsia="Times New Roman" w:hAnsi="Times New Roman"/>
          <w:sz w:val="13"/>
          <w:szCs w:val="13"/>
          <w:color w:val="auto"/>
        </w:rPr>
      </w:pPr>
    </w:p>
    <w:p>
      <w:pPr>
        <w:jc w:val="both"/>
        <w:ind w:left="1680" w:right="659" w:hanging="341"/>
        <w:spacing w:after="0" w:line="272" w:lineRule="auto"/>
        <w:tabs>
          <w:tab w:leader="none" w:pos="1680" w:val="left"/>
        </w:tabs>
        <w:numPr>
          <w:ilvl w:val="1"/>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2" w:lineRule="exact"/>
        <w:rPr>
          <w:rFonts w:ascii="Times New Roman" w:cs="Times New Roman" w:eastAsia="Times New Roman" w:hAnsi="Times New Roman"/>
          <w:sz w:val="13"/>
          <w:szCs w:val="13"/>
          <w:color w:val="auto"/>
        </w:rPr>
      </w:pPr>
    </w:p>
    <w:p>
      <w:pPr>
        <w:jc w:val="both"/>
        <w:ind w:left="1340" w:right="659" w:hanging="352"/>
        <w:spacing w:after="0" w:line="272" w:lineRule="auto"/>
        <w:tabs>
          <w:tab w:leader="none" w:pos="13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2" w:lineRule="exact"/>
        <w:rPr>
          <w:rFonts w:ascii="Times New Roman" w:cs="Times New Roman" w:eastAsia="Times New Roman" w:hAnsi="Times New Roman"/>
          <w:sz w:val="13"/>
          <w:szCs w:val="13"/>
          <w:color w:val="auto"/>
        </w:rPr>
      </w:pPr>
    </w:p>
    <w:p>
      <w:pPr>
        <w:jc w:val="both"/>
        <w:ind w:left="1680" w:right="659" w:hanging="341"/>
        <w:spacing w:after="0" w:line="272" w:lineRule="auto"/>
        <w:tabs>
          <w:tab w:leader="none" w:pos="1680" w:val="left"/>
        </w:tabs>
        <w:numPr>
          <w:ilvl w:val="1"/>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Times New Roman" w:cs="Times New Roman" w:eastAsia="Times New Roman" w:hAnsi="Times New Roman"/>
          <w:sz w:val="13"/>
          <w:szCs w:val="13"/>
          <w:color w:val="auto"/>
        </w:rPr>
      </w:pPr>
    </w:p>
    <w:p>
      <w:pPr>
        <w:ind w:left="1680" w:right="659" w:hanging="341"/>
        <w:spacing w:after="0" w:line="286" w:lineRule="auto"/>
        <w:tabs>
          <w:tab w:leader="none" w:pos="1680" w:val="left"/>
        </w:tabs>
        <w:numPr>
          <w:ilvl w:val="1"/>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26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Date: May 6, 2026</w:t>
            </w:r>
          </w:p>
        </w:tc>
        <w:tc>
          <w:tcPr>
            <w:tcW w:w="152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By:</w:t>
            </w:r>
          </w:p>
        </w:tc>
        <w:tc>
          <w:tcPr>
            <w:tcW w:w="46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 Jason A. Amello</w:t>
            </w:r>
          </w:p>
        </w:tc>
      </w:tr>
      <w:tr>
        <w:trPr>
          <w:trHeight w:val="26"/>
        </w:trPr>
        <w:tc>
          <w:tcPr>
            <w:tcW w:w="2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r>
      <w:tr>
        <w:trPr>
          <w:trHeight w:val="190"/>
        </w:trPr>
        <w:tc>
          <w:tcPr>
            <w:tcW w:w="2660" w:type="dxa"/>
            <w:vAlign w:val="bottom"/>
          </w:tcPr>
          <w:p>
            <w:pPr>
              <w:spacing w:after="0"/>
              <w:rPr>
                <w:sz w:val="16"/>
                <w:szCs w:val="16"/>
                <w:color w:val="auto"/>
              </w:rPr>
            </w:pPr>
          </w:p>
        </w:tc>
        <w:tc>
          <w:tcPr>
            <w:tcW w:w="152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Name:</w:t>
            </w:r>
          </w:p>
        </w:tc>
        <w:tc>
          <w:tcPr>
            <w:tcW w:w="46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Jason A. Amello</w:t>
            </w:r>
          </w:p>
        </w:tc>
      </w:tr>
      <w:tr>
        <w:trPr>
          <w:trHeight w:val="226"/>
        </w:trPr>
        <w:tc>
          <w:tcPr>
            <w:tcW w:w="2660" w:type="dxa"/>
            <w:vAlign w:val="bottom"/>
          </w:tcPr>
          <w:p>
            <w:pPr>
              <w:spacing w:after="0"/>
              <w:rPr>
                <w:sz w:val="19"/>
                <w:szCs w:val="19"/>
                <w:color w:val="auto"/>
              </w:rPr>
            </w:pPr>
          </w:p>
        </w:tc>
        <w:tc>
          <w:tcPr>
            <w:tcW w:w="1520" w:type="dxa"/>
            <w:vAlign w:val="bottom"/>
          </w:tcPr>
          <w:p>
            <w:pPr>
              <w:ind w:left="800"/>
              <w:spacing w:after="0"/>
              <w:rPr>
                <w:sz w:val="20"/>
                <w:szCs w:val="20"/>
                <w:color w:val="auto"/>
              </w:rPr>
            </w:pPr>
            <w:r>
              <w:rPr>
                <w:rFonts w:ascii="Times New Roman" w:cs="Times New Roman" w:eastAsia="Times New Roman" w:hAnsi="Times New Roman"/>
                <w:sz w:val="13"/>
                <w:szCs w:val="13"/>
                <w:color w:val="auto"/>
              </w:rPr>
              <w:t>Title:</w:t>
            </w:r>
          </w:p>
        </w:tc>
        <w:tc>
          <w:tcPr>
            <w:tcW w:w="46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226"/>
        </w:trPr>
        <w:tc>
          <w:tcPr>
            <w:tcW w:w="2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00" w:type="dxa"/>
            <w:vAlign w:val="bottom"/>
            <w:gridSpan w:val="2"/>
          </w:tcPr>
          <w:p>
            <w:pPr>
              <w:ind w:left="40"/>
              <w:spacing w:after="0"/>
              <w:rPr>
                <w:sz w:val="20"/>
                <w:szCs w:val="20"/>
                <w:color w:val="auto"/>
              </w:rPr>
            </w:pPr>
            <w:r>
              <w:rPr>
                <w:rFonts w:ascii="Times New Roman" w:cs="Times New Roman" w:eastAsia="Times New Roman" w:hAnsi="Times New Roman"/>
                <w:sz w:val="13"/>
                <w:szCs w:val="13"/>
                <w:i w:val="1"/>
                <w:iCs w:val="1"/>
                <w:color w:val="auto"/>
              </w:rPr>
              <w:t>(Principal Financial and Accounting Officer)</w:t>
            </w:r>
          </w:p>
        </w:tc>
      </w:tr>
      <w:tr>
        <w:trPr>
          <w:trHeight w:val="1145"/>
        </w:trPr>
        <w:tc>
          <w:tcPr>
            <w:tcW w:w="26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92" w:name="page93"/>
    <w:bookmarkEnd w:id="92"/>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In connection with the Quarterly Report of TScan Therapeutics, Inc. (the “Company”) on Form 10-Q for the period ended</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March 31, 2026 as filed with the Securities and Exchange Commission on the date hereof (the “Report”), I certify, pursuant to 18</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U.S.C. § 1350, as adopted pursuant to § 906 of the Sarbanes-Oxley Act of 2002, that:</w:t>
      </w:r>
    </w:p>
    <w:p>
      <w:pPr>
        <w:spacing w:after="0" w:line="169" w:lineRule="exact"/>
        <w:rPr>
          <w:sz w:val="20"/>
          <w:szCs w:val="20"/>
          <w:color w:val="auto"/>
        </w:rPr>
      </w:pPr>
    </w:p>
    <w:p>
      <w:pPr>
        <w:ind w:left="1280" w:hanging="291"/>
        <w:spacing w:after="0"/>
        <w:tabs>
          <w:tab w:leader="none" w:pos="12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82" w:lineRule="exact"/>
        <w:rPr>
          <w:rFonts w:ascii="Times New Roman" w:cs="Times New Roman" w:eastAsia="Times New Roman" w:hAnsi="Times New Roman"/>
          <w:sz w:val="14"/>
          <w:szCs w:val="14"/>
          <w:color w:val="auto"/>
        </w:rPr>
      </w:pPr>
    </w:p>
    <w:p>
      <w:pPr>
        <w:ind w:left="1340" w:right="679" w:hanging="351"/>
        <w:spacing w:after="0" w:line="292" w:lineRule="auto"/>
        <w:tabs>
          <w:tab w:leader="none" w:pos="127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 of operations of the Company.</w:t>
      </w:r>
    </w:p>
    <w:p>
      <w:pPr>
        <w:spacing w:after="0" w:line="145" w:lineRule="exact"/>
        <w:rPr>
          <w:sz w:val="20"/>
          <w:szCs w:val="20"/>
          <w:color w:val="auto"/>
        </w:rPr>
      </w:pPr>
    </w:p>
    <w:p>
      <w:pPr>
        <w:ind w:left="640"/>
        <w:spacing w:after="0"/>
        <w:tabs>
          <w:tab w:leader="none" w:pos="4420" w:val="left"/>
          <w:tab w:leader="none" w:pos="5960" w:val="left"/>
        </w:tabs>
        <w:rPr>
          <w:sz w:val="20"/>
          <w:szCs w:val="20"/>
          <w:color w:val="auto"/>
        </w:rPr>
      </w:pPr>
      <w:r>
        <w:rPr>
          <w:rFonts w:ascii="Times New Roman" w:cs="Times New Roman" w:eastAsia="Times New Roman" w:hAnsi="Times New Roman"/>
          <w:sz w:val="14"/>
          <w:szCs w:val="14"/>
          <w:color w:val="auto"/>
        </w:rPr>
        <w:t>Date: May 6,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Gavin MacBeath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3009900</wp:posOffset>
            </wp:positionH>
            <wp:positionV relativeFrom="paragraph">
              <wp:posOffset>16510</wp:posOffset>
            </wp:positionV>
            <wp:extent cx="230505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2305050" cy="6985"/>
                    </a:xfrm>
                    <a:prstGeom prst="rect">
                      <a:avLst/>
                    </a:prstGeom>
                    <a:noFill/>
                  </pic:spPr>
                </pic:pic>
              </a:graphicData>
            </a:graphic>
          </wp:anchor>
        </w:drawing>
      </w:r>
    </w:p>
    <w:p>
      <w:pPr>
        <w:spacing w:after="0" w:line="15" w:lineRule="exact"/>
        <w:rPr>
          <w:sz w:val="20"/>
          <w:szCs w:val="20"/>
          <w:color w:val="auto"/>
        </w:rPr>
      </w:pPr>
    </w:p>
    <w:p>
      <w:pPr>
        <w:jc w:val="center"/>
        <w:ind w:left="4100"/>
        <w:spacing w:after="0"/>
        <w:rPr>
          <w:sz w:val="20"/>
          <w:szCs w:val="20"/>
          <w:color w:val="auto"/>
        </w:rPr>
      </w:pPr>
      <w:r>
        <w:rPr>
          <w:rFonts w:ascii="Times New Roman" w:cs="Times New Roman" w:eastAsia="Times New Roman" w:hAnsi="Times New Roman"/>
          <w:sz w:val="14"/>
          <w:szCs w:val="14"/>
          <w:b w:val="1"/>
          <w:bCs w:val="1"/>
          <w:color w:val="auto"/>
        </w:rPr>
        <w:t>Gavin MacBeath</w:t>
      </w:r>
    </w:p>
    <w:p>
      <w:pPr>
        <w:spacing w:after="0" w:line="11" w:lineRule="exact"/>
        <w:rPr>
          <w:sz w:val="20"/>
          <w:szCs w:val="20"/>
          <w:color w:val="auto"/>
        </w:rPr>
      </w:pPr>
    </w:p>
    <w:p>
      <w:pPr>
        <w:jc w:val="center"/>
        <w:ind w:left="41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669925</wp:posOffset>
            </wp:positionV>
            <wp:extent cx="560387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93" w:name="page94"/>
    <w:bookmarkEnd w:id="93"/>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In connection with the Quarterly Report of TScan Therapeutics, Inc. (the “Company”) on Form 10-Q for the period ending</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March 31, 2026 as filed with the Securities and Exchange Commission on the date hereof (the “Report”), I certify, pursuant to 18</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U.S.C. § 1350, as adopted pursuant to § 906 of the Sarbanes-Oxley Act of 2002, that:</w:t>
      </w:r>
    </w:p>
    <w:p>
      <w:pPr>
        <w:spacing w:after="0" w:line="169" w:lineRule="exact"/>
        <w:rPr>
          <w:sz w:val="20"/>
          <w:szCs w:val="20"/>
          <w:color w:val="auto"/>
        </w:rPr>
      </w:pPr>
    </w:p>
    <w:p>
      <w:pPr>
        <w:ind w:left="1340" w:hanging="352"/>
        <w:spacing w:after="0"/>
        <w:tabs>
          <w:tab w:leader="none" w:pos="13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82" w:lineRule="exact"/>
        <w:rPr>
          <w:rFonts w:ascii="Times New Roman" w:cs="Times New Roman" w:eastAsia="Times New Roman" w:hAnsi="Times New Roman"/>
          <w:sz w:val="14"/>
          <w:szCs w:val="14"/>
          <w:color w:val="auto"/>
        </w:rPr>
      </w:pPr>
    </w:p>
    <w:p>
      <w:pPr>
        <w:ind w:left="1340" w:right="1039" w:hanging="352"/>
        <w:spacing w:after="0" w:line="292" w:lineRule="auto"/>
        <w:tabs>
          <w:tab w:leader="none" w:pos="13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 of operations of the Company.</w:t>
      </w:r>
    </w:p>
    <w:p>
      <w:pPr>
        <w:spacing w:after="0" w:line="145" w:lineRule="exact"/>
        <w:rPr>
          <w:sz w:val="20"/>
          <w:szCs w:val="20"/>
          <w:color w:val="auto"/>
        </w:rPr>
      </w:pPr>
    </w:p>
    <w:p>
      <w:pPr>
        <w:ind w:left="640"/>
        <w:spacing w:after="0"/>
        <w:tabs>
          <w:tab w:leader="none" w:pos="4540" w:val="left"/>
          <w:tab w:leader="none" w:pos="5980" w:val="left"/>
        </w:tabs>
        <w:rPr>
          <w:sz w:val="20"/>
          <w:szCs w:val="20"/>
          <w:color w:val="auto"/>
        </w:rPr>
      </w:pPr>
      <w:r>
        <w:rPr>
          <w:rFonts w:ascii="Times New Roman" w:cs="Times New Roman" w:eastAsia="Times New Roman" w:hAnsi="Times New Roman"/>
          <w:sz w:val="14"/>
          <w:szCs w:val="14"/>
          <w:color w:val="auto"/>
        </w:rPr>
        <w:t>Date: May 6,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Jason A. Amello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16510</wp:posOffset>
            </wp:positionV>
            <wp:extent cx="227774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2277745" cy="6985"/>
                    </a:xfrm>
                    <a:prstGeom prst="rect">
                      <a:avLst/>
                    </a:prstGeom>
                    <a:noFill/>
                  </pic:spPr>
                </pic:pic>
              </a:graphicData>
            </a:graphic>
          </wp:anchor>
        </w:drawing>
      </w:r>
    </w:p>
    <w:p>
      <w:pPr>
        <w:spacing w:after="0" w:line="15"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Jason A. Amello</w:t>
      </w:r>
    </w:p>
    <w:p>
      <w:pPr>
        <w:spacing w:after="0" w:line="1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813435</wp:posOffset>
            </wp:positionV>
            <wp:extent cx="560387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94" w:name="page95"/>
    <w:bookmarkEnd w:id="9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1."/>
      <w:numFmt w:val="decimal"/>
      <w:start w:val="5"/>
    </w:lvl>
  </w:abstractNum>
  <w:abstractNum w:abstractNumId="12">
    <w:nsid w:val="5072367"/>
    <w:multiLevelType w:val="hybridMultilevel"/>
    <w:lvl w:ilvl="0">
      <w:lvlJc w:val="left"/>
      <w:lvlText w:val="%1."/>
      <w:numFmt w:val="decimal"/>
      <w:start w:val="6"/>
    </w:lvl>
  </w:abstractNum>
  <w:abstractNum w:abstractNumId="13">
    <w:nsid w:val="3804823E"/>
    <w:multiLevelType w:val="hybridMultilevel"/>
    <w:lvl w:ilvl="0">
      <w:lvlJc w:val="left"/>
      <w:lvlText w:val="%1."/>
      <w:numFmt w:val="decimal"/>
      <w:start w:val="10"/>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1)"/>
      <w:numFmt w:val="lowerRoman"/>
      <w:start w:val="2"/>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09" Type="http://schemas.openxmlformats.org/officeDocument/2006/relationships/hyperlink" Target="https://www.sec.gov/Archives/edgar/data/0001783328/000119312521219696/d172723dex31.htm" TargetMode="External"/><Relationship Id="rId212" Type="http://schemas.openxmlformats.org/officeDocument/2006/relationships/hyperlink" Target="https://www.sec.gov/Archives/edgar/data/0001783328/000119312521219696/d172723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2026-05-06T06:34:39Z</dcterms:created>
  <dcterms:modified xsi:type="dcterms:W3CDTF">2026-05-06T06:34:39Z</dcterms:modified>
</cp:coreProperties>
</file>