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TScan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Voting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3,014,267.00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3,014,267.00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3,014,267.00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3,014,267.00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3,014,267.00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3,014,267.00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1,868,548.00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1,868,548.00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1,868,548.00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1,868,548.00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1,868,548.00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1,868,548.00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560,400.00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560,400.00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560,400.00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560,400.00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560,400.00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560,400.00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4,882,815.00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4,882,815.00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4,882,815.00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5,578,288.00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5,578,288.00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5,578,288.00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5,578,288.00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5,578,288.00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5,578,288.00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5,578,288.00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5,578,288.00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5,578,288.00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TScan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t xml:space="preserve">Address of issuer's principal executive offices: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Voting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March 31, 2026, the Reporting Persons and a certain Partners managed account (the "Partners Managed Account") held Pre-Funded Warrants (the "Pre-Funded Warrants") exercisable for an aggregate of 8,784,348 Shares. The Pre-Funded Warrants are exercisable at any time at an exercise price of $0.0001 per Share and do not expire. A holder of Pre-Funded Warrants will not have the right to exercise any portion of its Pre-Funded Warrants which, upon giving effect to such exercise, would cause the aggregate number of Shares beneficially owned by the holder (together with its affiliates and other attribution parties (as defined in the Pre-Funded Warrant)) to exceed 9.99% of the Shares outstanding immediately after such exercise (the "Pre-Funded Warrants Blocker"). As of the close of business on March 31, 2026, the Pre-Funded Warrants Blocker limits the exercise of the Pre-Funded Warrants held by the Reporting Persons and the Partners Managed Account to 13,998 out of the 8,784,348 Shares underlying the Pre-Funded Warrants held by them. As of the close of business on March 31, 2026, (i) BVF beneficially owned 3,014,267 Shares, including 13,998 Shares underlying certain Pre-Funded Warrants held by it and excluding 4,658,896 Shares underlying certain Pre-Funded Warrants held by it, (ii) BVF2 beneficially owned 1,868,548 Shares, excluding 3,733,846 Shares underlying the Pre-Funded Warrants held by it, and (iii) Trading Fund OS beneficially owned 560,400 Shares, excluding 303,238 Shares underlying the Pre-Funded Warrants held by it. BVF GP, as the general partner of BVF, may be deemed to beneficially own the 3,014,267 Shares beneficially owned by BVF. BVF2 GP, as the general partner of BVF2, may be deemed to beneficially own the 1,868,548 Shares beneficially owned by BVF2. Partners OS, as the general partner of Trading Fund OS, may be deemed to beneficially own the 560,400 Shares beneficially owned by Trading Fund OS. BVF GPH, as the sole member of each of BVF GP and BVF2 GP, may be deemed to beneficially own the 4,882,815 Shares beneficially owned in the aggregate by BVF and BVF2. Partners, as the investment manager of BVF, BVF2 and Trading Fund OS, and the sole member of Partners OS, may be deemed to beneficially own the 5,578,288 Shares beneficially owned in the aggregate by BVF, BVF2 and Trading Fund OS and held in the Partners Managed Account, including 135,073 Shares held in the Partners Managed Account, which excludes 74,370 Shares underlying the Pre-Funded Warrants held in the Partners Managed Account. BVF Inc., as the general partner of Partners, may be deemed to beneficially own the 5,578,288 Shares beneficially owned by Partners. Mr. Lampert, as a director and officer of BVF Inc., may be deemed to beneficially own the 5,578,288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upon a denominator that is the sum of: (i) 52,625,035 Shares outstanding as of February 27, 2026, which is the total number of Shares outstanding as disclosed in the Issuer's Annual Report on Form 10-K filed with the Securities and Exchange Commission on March 4, 2026, (ii) 3,199,687 Shares issued to the Reporting Persons and Partners Managed Account on March 27, 2026 upon the exercise of certain Pre-Funded Warrants previously held by the Reporting Persons and Partners Managed Account, as applicable, and (iii) 13,998 Shares issuable upon the exercise of certain Pre-Funded Warrants held by the Reporting Persons, as applicable. As of the close of business on March 31, 2026, (i) BVF beneficially owned approximately 5.4% of the outstanding Shares, (ii) BVF2 beneficially owned approximately 3.3% of the outstanding Shares, (iii) Trading Fund OS beneficially owned approximately 1.0% of the outstanding Shares, (iv) BVF GP may be deemed to beneficially own approximately 5.4% of the outstanding Shares, (v) BVF2 GP may be deemed to beneficially own approximately 3.3% of the outstanding Shares, (vi) Partners OS may be deemed to beneficially own approximately 1.0% of the outstanding Shares, (vii) BVF GPH may be deemed to beneficially own approximately 8.7% of the outstanding Shares, and (viii) each of Partners, BVF Inc. and Mr. Lampert may be deemed to beneficially own approximately 9.99%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with the Securities and Exchange Commission on June 5, 2023.</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3223</Words>
  <Characters>16632</Characters>
  <CharactersWithSpaces>19665</CharactersWithSpaces>
  <Paragraphs>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