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9998d8k.htm"/>
      <w:bookmarkStart w:id="1" w:name="ksd5999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82-5282075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857 399-9500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4985"/>
        <w:gridCol w:w="60"/>
        <w:gridCol w:w="740"/>
        <w:gridCol w:w="60"/>
        <w:gridCol w:w="321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TCRX</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The Nasdaq Global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the Company’s Current Report on Form 8-K filed September 2, 2026, in connection with a strategic reorganization of the Company, it was agreed that Jason A. Amello would cease to serve as the Company’s Chief Financial Officer and Chrystal Louis, M.D., MPH, would cease to serve as the Company’s Chief Medical Officer.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2026 and September 25, 2026, respectively, the Company entered into Confidential Separation Agreement and General Release Agreements with Dr. Louis (the “Louis Separation Agreement”) and Mr. Amello (the “Amello Separation Agreement” and, together with the Louis Separation Agreement, the “Separation Agreements”), pursuant to which the applicable executive’s employment with the Company will terminate on the earlier of November 1, 2026 or the date on which the executive commences other employment, consulting or paid board service (the applicable “Separation Date”) and during such time each executive’s base salary and applicable employee benefits will continue.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Amello Separation Agreement, Mr. Amello remains contractually entitled to receive the previously disclosed termination-related payments and benefits. Mr. Amello is also entitled to a lump-sum cash award of $85,000, which will be payable upon achievement of a certain Company milestone should such milestone be achieved prior to Mr. Amello’s Separation Date pursuant to the terms of the Company’s November 2025 retention program (the “2025 Retention Program”).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Louis Separation Agreement, Dr. Louis remains contractually entitled to receive the previously disclosed termination-related payments and benefits. Dr. Louis is also entitled to a lump-sum cash award of $125,000, which will be payable upon achievement of a certain Company milestone should such milestone be achieved prior to Dr. Louis’s Separation Date pursuant to the terms of the 2025 Retention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Separation Agreements do not purport to be complete and are qualified in their entirety by reference to the full text of the Separation Agreements, copies of which will be filed as exhibits to the Company’s Quarterly Report on Form 10-Q for the quarter ending September 30, 2026.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40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TScan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MacBeath,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Gavin MacBeath, Ph.D.</w:t>
            </w:r>
          </w:p>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713</Words>
  <Characters>4029</Characters>
  <CharactersWithSpaces>4731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