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crx-20260630.htm"/>
      <w:bookmarkStart w:id="1" w:name="kstcrx20260630"/>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ind w:left="4320" w:right="4320" w:hanging="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ind w:left="4320" w:right="4320" w:hanging="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left"/>
        <w:rPr/>
      </w:pPr>
      <w:r>
        <w:rPr/>
        <w:t> </w:t>
      </w:r>
    </w:p>
    <w:tbl>
      <w:tblPr>
        <w:tblW w:w="3872" w:type="dxa"/>
        <w:jc w:val="left"/>
        <w:tblInd w:w="0" w:type="dxa"/>
        <w:tblLayout w:type="fixed"/>
        <w:tblCellMar>
          <w:top w:w="28" w:type="dxa"/>
          <w:left w:w="28" w:type="dxa"/>
          <w:bottom w:w="28" w:type="dxa"/>
          <w:right w:w="28" w:type="dxa"/>
        </w:tblCellMar>
      </w:tblPr>
      <w:tblGrid>
        <w:gridCol w:w="2581"/>
        <w:gridCol w:w="1291"/>
      </w:tblGrid>
      <w:tr>
        <w:trPr/>
        <w:tc>
          <w:tcPr>
            <w:tcW w:w="258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 the quarterly period ended</w:t>
            </w:r>
          </w:p>
        </w:tc>
        <w:tc>
          <w:tcPr>
            <w:tcW w:w="12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2026</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60" w:after="283"/>
        <w:jc w:val="left"/>
        <w:rPr>
          <w:rFonts w:ascii="Times New Roman" w:hAnsi="Times New Roman"/>
          <w:sz w:val="20"/>
        </w:rPr>
      </w:pPr>
      <w:r>
        <w:rPr>
          <w:rFonts w:ascii="Times New Roman" w:hAnsi="Times New Roman"/>
          <w:color w:val="000000"/>
          <w:sz w:val="20"/>
        </w:rPr>
        <w:t xml:space="preserve">For the transition period from </w:t>
      </w:r>
      <w:r>
        <w:rPr>
          <w:rFonts w:ascii="Times New Roman" w:hAnsi="Times New Roman"/>
          <w:b/>
          <w:color w:val="000000"/>
          <w:sz w:val="20"/>
        </w:rPr>
        <w:t>_____________________________</w:t>
      </w:r>
      <w:r>
        <w:rPr>
          <w:rFonts w:ascii="Times New Roman" w:hAnsi="Times New Roman"/>
          <w:color w:val="000000"/>
          <w:sz w:val="20"/>
        </w:rPr>
        <w:t>to</w:t>
      </w:r>
      <w:r>
        <w:rPr>
          <w:rFonts w:ascii="Times New Roman" w:hAnsi="Times New Roman"/>
          <w:b/>
          <w:color w:val="000000"/>
          <w:sz w:val="20"/>
        </w:rPr>
        <w:t>_____________________________________________________</w:t>
      </w:r>
    </w:p>
    <w:tbl>
      <w:tblPr>
        <w:tblW w:w="3302" w:type="dxa"/>
        <w:jc w:val="left"/>
        <w:tblInd w:w="0" w:type="dxa"/>
        <w:tblLayout w:type="fixed"/>
        <w:tblCellMar>
          <w:top w:w="28" w:type="dxa"/>
          <w:left w:w="28" w:type="dxa"/>
          <w:bottom w:w="28" w:type="dxa"/>
          <w:right w:w="28" w:type="dxa"/>
        </w:tblCellMar>
      </w:tblPr>
      <w:tblGrid>
        <w:gridCol w:w="2251"/>
        <w:gridCol w:w="1051"/>
      </w:tblGrid>
      <w:tr>
        <w:trPr/>
        <w:tc>
          <w:tcPr>
            <w:tcW w:w="225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Commission File Number:</w:t>
            </w:r>
          </w:p>
        </w:tc>
        <w:tc>
          <w:tcPr>
            <w:tcW w:w="10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001-40603</w:t>
            </w:r>
          </w:p>
        </w:tc>
      </w:tr>
    </w:tbl>
    <w:p>
      <w:pPr>
        <w:pStyle w:val="TextBody"/>
        <w:pBdr>
          <w:bottom w:val="single" w:sz="4" w:space="1" w:color="000000"/>
        </w:pBdr>
        <w:bidi w:val="0"/>
        <w:ind w:left="4320" w:right="4320" w:hanging="0"/>
        <w:jc w:val="center"/>
        <w:rPr/>
      </w:pPr>
      <w:r>
        <w:rPr/>
        <w:t> </w:t>
      </w:r>
    </w:p>
    <w:p>
      <w:pPr>
        <w:pStyle w:val="TextBody"/>
        <w:bidi w:val="0"/>
        <w:spacing w:before="60" w:after="283"/>
        <w:jc w:val="center"/>
        <w:rPr>
          <w:rFonts w:ascii="Times New Roman" w:hAnsi="Times New Roman"/>
          <w:sz w:val="20"/>
        </w:rPr>
      </w:pPr>
      <w:r>
        <w:rPr>
          <w:rFonts w:ascii="Times New Roman" w:hAnsi="Times New Roman"/>
          <w:b/>
          <w:color w:val="000000"/>
          <w:sz w:val="48"/>
        </w:rPr>
        <w:t>TSCAN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ind w:left="4320" w:right="4320" w:hanging="0"/>
        <w:jc w:val="center"/>
        <w:rPr/>
      </w:pPr>
      <w:r>
        <w:rPr/>
        <w:t> </w:t>
      </w:r>
    </w:p>
    <w:p>
      <w:pPr>
        <w:pStyle w:val="TextBody"/>
        <w:bidi w:val="0"/>
        <w:jc w:val="left"/>
        <w:rPr/>
      </w:pPr>
      <w:r>
        <w:rPr/>
        <w:t> </w:t>
      </w:r>
    </w:p>
    <w:tbl>
      <w:tblPr>
        <w:tblW w:w="3823" w:type="dxa"/>
        <w:jc w:val="left"/>
        <w:tblInd w:w="0" w:type="dxa"/>
        <w:tblLayout w:type="fixed"/>
        <w:tblCellMar>
          <w:top w:w="28" w:type="dxa"/>
          <w:left w:w="28" w:type="dxa"/>
          <w:bottom w:w="28" w:type="dxa"/>
          <w:right w:w="28" w:type="dxa"/>
        </w:tblCellMar>
      </w:tblPr>
      <w:tblGrid>
        <w:gridCol w:w="2431"/>
        <w:gridCol w:w="146"/>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82-5282075</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80" w:after="283"/>
              <w:jc w:val="center"/>
              <w:rPr>
                <w:rFonts w:ascii="Times New Roman" w:hAnsi="Times New Roman"/>
                <w:b/>
                <w:color w:val="000000"/>
                <w:sz w:val="20"/>
              </w:rPr>
            </w:pPr>
            <w:r>
              <w:rPr>
                <w:rFonts w:ascii="Times New Roman" w:hAnsi="Times New Roman"/>
                <w:b/>
                <w:color w:val="000000"/>
                <w:sz w:val="20"/>
              </w:rPr>
              <w:t>830 Winter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Waltham, Massachusetts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02451</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(857) 399-9500</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bidi w:val="0"/>
        <w:ind w:left="4320" w:right="4320" w:hanging="0"/>
        <w:jc w:val="center"/>
        <w:rPr/>
      </w:pPr>
      <w:r>
        <w:rPr/>
        <w:t> </w:t>
      </w:r>
    </w:p>
    <w:p>
      <w:pPr>
        <w:pStyle w:val="TextBody"/>
        <w:bidi w:val="0"/>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260" w:type="dxa"/>
        <w:jc w:val="left"/>
        <w:tblInd w:w="0" w:type="dxa"/>
        <w:tblLayout w:type="fixed"/>
        <w:tblCellMar>
          <w:top w:w="28" w:type="dxa"/>
          <w:left w:w="28" w:type="dxa"/>
          <w:bottom w:w="28" w:type="dxa"/>
          <w:right w:w="28" w:type="dxa"/>
        </w:tblCellMar>
      </w:tblPr>
      <w:tblGrid>
        <w:gridCol w:w="3826"/>
        <w:gridCol w:w="146"/>
        <w:gridCol w:w="826"/>
        <w:gridCol w:w="146"/>
        <w:gridCol w:w="3316"/>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826"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82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Voting Common Stock, $0.0001 par value per share</w:t>
            </w:r>
          </w:p>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TCRX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Market, LLC</w:t>
            </w:r>
          </w:p>
        </w:tc>
      </w:tr>
    </w:tbl>
    <w:p>
      <w:pPr>
        <w:pStyle w:val="TextBody"/>
        <w:bidi w:val="0"/>
        <w:jc w:val="left"/>
        <w:rPr/>
      </w:pPr>
      <w:r>
        <w:rPr/>
        <w:t> </w:t>
      </w:r>
    </w:p>
    <w:p>
      <w:pPr>
        <w:pStyle w:val="TextBody"/>
        <w:bidi w:val="0"/>
        <w:ind w:left="0" w:right="0" w:firstLine="576"/>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60" w:after="283"/>
        <w:ind w:left="0" w:right="0" w:firstLine="576"/>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60" w:after="283"/>
        <w:ind w:left="0" w:right="0" w:firstLine="576"/>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ind w:left="0" w:right="0" w:firstLine="576"/>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ind w:left="0" w:right="0" w:firstLine="576"/>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No ☒</w:t>
      </w:r>
    </w:p>
    <w:p>
      <w:pPr>
        <w:pStyle w:val="TextBody"/>
        <w:bidi w:val="0"/>
        <w:spacing w:before="60" w:after="283"/>
        <w:ind w:left="0" w:right="0" w:firstLine="576"/>
        <w:jc w:val="left"/>
        <w:rPr>
          <w:rFonts w:ascii="Times New Roman" w:hAnsi="Times New Roman"/>
          <w:sz w:val="20"/>
        </w:rPr>
      </w:pPr>
      <w:r>
        <w:rPr>
          <w:rFonts w:ascii="Times New Roman" w:hAnsi="Times New Roman"/>
          <w:color w:val="000000"/>
          <w:sz w:val="18"/>
        </w:rPr>
        <w:t>As of August 7, 2026, the registrant had 63,502,667</w:t>
      </w:r>
      <w:r>
        <w:rPr>
          <w:rFonts w:ascii="Times New Roman" w:hAnsi="Times New Roman"/>
          <w:color w:val="000000"/>
          <w:sz w:val="20"/>
        </w:rPr>
        <w:t xml:space="preserve"> </w:t>
      </w:r>
      <w:r>
        <w:rPr>
          <w:rFonts w:ascii="Times New Roman" w:hAnsi="Times New Roman"/>
          <w:color w:val="000000"/>
          <w:sz w:val="18"/>
        </w:rPr>
        <w:t>shares of voting common stock, $0.0001 par value per share, and 4,276,588</w:t>
      </w:r>
      <w:r>
        <w:rPr>
          <w:rFonts w:ascii="Times New Roman" w:hAnsi="Times New Roman"/>
          <w:color w:val="000000"/>
          <w:sz w:val="20"/>
        </w:rPr>
        <w:t xml:space="preserve"> </w:t>
      </w:r>
      <w:r>
        <w:rPr>
          <w:rFonts w:ascii="Times New Roman" w:hAnsi="Times New Roman"/>
          <w:color w:val="000000"/>
          <w:sz w:val="18"/>
        </w:rPr>
        <w:t>shares of non-voting common stock, $0.0001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This Quarterly Report on Form 10-Q, or Quarterly Report, contains forward-looking statements within the meaning of Section 27A of the Securities Act of 1933, as amended, or the Securities Act, and Section 21E of the Securities Exchange Act of 1934, as amended, or the Exchange Act, that involve substantial risks and uncertainties. All statements, other than statements of historical facts, contained in this Quarterly Report are forward-looking statements.</w:t>
      </w:r>
    </w:p>
    <w:p>
      <w:pPr>
        <w:pStyle w:val="TextBody"/>
        <w:bidi w:val="0"/>
        <w:spacing w:before="200" w:after="283"/>
        <w:ind w:left="0" w:right="0" w:firstLine="490"/>
        <w:jc w:val="both"/>
        <w:rPr>
          <w:rFonts w:ascii="Times New Roman" w:hAnsi="Times New Roman"/>
          <w:color w:val="000000"/>
          <w:sz w:val="20"/>
        </w:rPr>
      </w:pPr>
      <w:r>
        <w:rPr>
          <w:rFonts w:ascii="Times New Roman" w:hAnsi="Times New Roman"/>
          <w:color w:val="000000"/>
          <w:sz w:val="20"/>
        </w:rPr>
        <w:t>In some cases, you can identify forward-looking statements by words such as “may,” “can,” “will,” “should,” “would,” “expect,” “plan,” “anticipate,” “could,” “intend,” “target,” “project,” “seek,” “contemplate,” “believe,” “estimate,” “predict,” “potential,” “possible” or “continue” or the negative of these terms or other similar expressions are intended to identify forward-looking statements, although not all forward-looking statements contain these identifying words. Forward-looking statements contained in this Quarterly Report include, but are not limited to, statements about:</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beneficial characteristics, safety, efficacy, therapeutic effects and potential advantages of our T cell receptor (TCR)-engineered T cell, or TCR-T, therapy product candidates;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our preclinical studies being predictive of clinical trial results;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of the initiation, progress and expected results of our preclinical studies, clinical trials and our research and development programs;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of and our ability to submit applications for, and obtain and, if approved, maintain regulatory approvals for our TCR-T therapy product candidates;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clinical trial results being predictive of continued development and commercial success of our product candidates;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plans relating to developing and commercializing our TCR-T therapy product candidates, if approved, including sales strategy;</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estimates of the size of the addressable market for our TCR-T therapy product candidates;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manufacturing capabilities and the scalable nature of our manufacturing process;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estimates regarding expenses, future milestone payments and revenue, capital requirements and needs for additional financing;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competition;</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anticipated growth strategies;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attract or retain key personnel;</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and maintain development partnerships and collaborations;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federal, state and foreign regulatory requirements;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developments in the U.S. and foreign countries;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and maintain intellectual property protection for our proprietary platform technology and our product candidates;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anticipated trends and challenges in our business and the market in which we operate;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sufficiency of our existing capital resources to fund our future operating expenses and capital expenditure requirements;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effects of rising inflation rates and the impact on operating costs, liquidity and access to credit on any of the foregoing or other aspects of our business operations;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effects of global economic uncertainty and financial market volatility caused by political instability, new or increased international tariffs and retaliatory tariffs, changes in U.S. policy, changes in governmental agencies, changes in international trade relationships and conflicts, such as the ongoing conflicts in the Middle East and between Russia and Ukraine, on any of the foregoing or other aspects of our business or operations including our ability to obtain additional financing;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anticipated use of our existing cash resources, our ability to continue as a going concern, and our ability to obtain additional financing in the future.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720"/>
        <w:jc w:val="both"/>
        <w:rPr>
          <w:rFonts w:ascii="Times New Roman" w:hAnsi="Times New Roman"/>
          <w:color w:val="000000"/>
          <w:sz w:val="20"/>
        </w:rPr>
      </w:pPr>
      <w:r>
        <w:rPr>
          <w:rFonts w:ascii="Times New Roman" w:hAnsi="Times New Roman"/>
          <w:color w:val="000000"/>
          <w:sz w:val="20"/>
        </w:rPr>
        <w:t>Any forward-looking statements in this Quarterly Report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These forward-looking statements are subject to a number of risks, uncertainties and assumptions included in this Quarterly Report, particularly those described in the “Risk Factors” section in Part II, Item 1A of this Quarterly Report, that could cause actual results or events to differ materially from the forward-looking statements that we make. Moreover, we operate in a very competitive and rapidly changing environment. New risks emerge from time to time and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We may not actually achieve the plans, intentions or expectations disclosed in our forward-looking statements, and you should not place undue reliance on our forward-looking statements. In light of these risks, uncertainties and assumptions, the forward- looking events and circumstances discussed in this Quarterly Report may not occur and actual results could differ materially and adversely from those anticipated or implied in the forward-looking statements.</w:t>
      </w:r>
    </w:p>
    <w:p>
      <w:pPr>
        <w:pStyle w:val="TextBody"/>
        <w:bidi w:val="0"/>
        <w:spacing w:before="120" w:after="283"/>
        <w:ind w:left="0" w:right="0" w:firstLine="720"/>
        <w:jc w:val="both"/>
        <w:rPr>
          <w:rFonts w:ascii="Times New Roman" w:hAnsi="Times New Roman"/>
          <w:color w:val="000000"/>
          <w:sz w:val="20"/>
        </w:rPr>
      </w:pPr>
      <w:r>
        <w:rPr>
          <w:rFonts w:ascii="Times New Roman" w:hAnsi="Times New Roman"/>
          <w:color w:val="000000"/>
          <w:sz w:val="20"/>
        </w:rPr>
        <w:t>You should not rely upon forward-looking statements as predictions of future events. The forward-looking statements contained in this Quarterly Report are made as of the date of this Quarterly Report, and although we believe that the expectations reflected in the forward-looking statements are reasonable, we cannot guarantee that the future results, advancements, discoveries, levels of activity, performance or events and circumstances reflected in the forward-looking statements will be achieved or occur. Moreover, except as required by law, neither we nor any other person assumes responsibility for the accuracy and completeness of the forward-looking statements. Except as required by law, we assume no obligation to update or revise any forward-looking statements for any reason even if new information becomes available in the future.</w:t>
      </w:r>
    </w:p>
    <w:p>
      <w:pPr>
        <w:pStyle w:val="TextBody"/>
        <w:bidi w:val="0"/>
        <w:spacing w:before="120" w:after="283"/>
        <w:ind w:left="0" w:right="0" w:firstLine="720"/>
        <w:jc w:val="both"/>
        <w:rPr>
          <w:rFonts w:ascii="Times New Roman" w:hAnsi="Times New Roman"/>
          <w:color w:val="000000"/>
          <w:sz w:val="20"/>
        </w:rPr>
      </w:pPr>
      <w:r>
        <w:rPr>
          <w:rFonts w:ascii="Times New Roman" w:hAnsi="Times New Roman"/>
          <w:color w:val="000000"/>
          <w:sz w:val="20"/>
        </w:rPr>
        <w:t>You should read this Quarterly Report and the documents that we have filed as an exhibit to this Quarterly Report with the understanding that our actual future results, levels of activity, performance and events and circumstances may be materially different from what we expect.</w:t>
      </w:r>
    </w:p>
    <w:p>
      <w:pPr>
        <w:pStyle w:val="TextBody"/>
        <w:bidi w:val="0"/>
        <w:spacing w:before="120" w:after="283"/>
        <w:ind w:left="0" w:right="0" w:firstLine="720"/>
        <w:jc w:val="both"/>
        <w:rPr>
          <w:rFonts w:ascii="Times New Roman" w:hAnsi="Times New Roman"/>
          <w:color w:val="000000"/>
          <w:sz w:val="20"/>
        </w:rPr>
      </w:pPr>
      <w:r>
        <w:rPr>
          <w:rFonts w:ascii="Times New Roman" w:hAnsi="Times New Roman"/>
          <w:color w:val="000000"/>
          <w:sz w:val="20"/>
        </w:rPr>
        <w:t>In addition, this Quarterly Report contains estimates, projections and other information concerning our industry, our business and the markets for our product candidates, including data regarding the estimated size of such markets and the incidence of certain medical conditions. We obtained industry, market and similar data set forth in this Quarterly Report from our internal estimates and research, and from academic and industry research, publications, surveys and studies conducted by third parties, including governmental agencies. Industry publications and third-party research, surveys and studies generally indicate that their information has been obtained from sources believed to be reliable. Our estimates of the potential market opportunities for our product candidates include key assumptions based on our industry knowledge, industry publications and third-party research, surveys and studies, which may be based on a small sample size and fail to accurately reflect market opportunities. Information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reports, research surveys, studies and similar data prepared by us and third parties, industry, medical and general publications, government data and similar sources. This Quarterly Report contains summaries of certain provisions contained in some of the documents described herein, but reference is made to the actual documents for complete information. All of the summaries are qualified in their entirety by the actual documents.</w:t>
      </w:r>
    </w:p>
    <w:p>
      <w:pPr>
        <w:pStyle w:val="TextBody"/>
        <w:bidi w:val="0"/>
        <w:spacing w:before="120" w:after="283"/>
        <w:ind w:left="0" w:right="0" w:firstLine="720"/>
        <w:jc w:val="both"/>
        <w:rPr>
          <w:rFonts w:ascii="Times New Roman" w:hAnsi="Times New Roman"/>
          <w:color w:val="000000"/>
          <w:sz w:val="20"/>
        </w:rPr>
      </w:pPr>
      <w:r>
        <w:rPr>
          <w:rFonts w:ascii="Times New Roman" w:hAnsi="Times New Roman"/>
          <w:color w:val="000000"/>
          <w:sz w:val="20"/>
        </w:rPr>
        <w:t>Unless stated otherwise, references in this Quarterly Report to “us,” “we,” “our,” “our Company,” or “the Company” and similar terms refer to TScan Therapeutics, Inc.</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10" w:after="283"/>
        <w:jc w:val="center"/>
        <w:rPr>
          <w:rFonts w:ascii="Times New Roman" w:hAnsi="Times New Roman"/>
          <w:b/>
          <w:color w:val="000000"/>
          <w:sz w:val="20"/>
        </w:rPr>
      </w:pPr>
      <w:r>
        <w:rPr>
          <w:rFonts w:ascii="Times New Roman" w:hAnsi="Times New Roman"/>
          <w:b/>
          <w:color w:val="000000"/>
          <w:sz w:val="20"/>
        </w:rPr>
        <w:t>RISK FACTOR SUMMARY</w:t>
      </w:r>
    </w:p>
    <w:p>
      <w:pPr>
        <w:pStyle w:val="TextBody"/>
        <w:bidi w:val="0"/>
        <w:spacing w:before="110" w:after="283"/>
        <w:ind w:left="0" w:right="0" w:firstLine="720"/>
        <w:jc w:val="both"/>
        <w:rPr>
          <w:rFonts w:ascii="Times New Roman" w:hAnsi="Times New Roman"/>
          <w:color w:val="000000"/>
          <w:sz w:val="20"/>
        </w:rPr>
      </w:pPr>
      <w:r>
        <w:rPr>
          <w:rFonts w:ascii="Times New Roman" w:hAnsi="Times New Roman"/>
          <w:color w:val="000000"/>
          <w:sz w:val="20"/>
        </w:rPr>
        <w:t>Our business operations are subject to numerous risks that, if realized, could materially and adversely affect our business, financial condition, results of operations, and future growth prospects. These risks are discussed more fully in Part II, Item 1A. “Risk Factors” in this Quarterly Report on Form 10-Q. These risks include, but are not limited to, the following:</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Our Business and Industry</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incurred significant losses since inception, and we expect to incur losses over the next several years and may not be able to achieve or sustain revenues or profitability in the future.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depends upon the success of our proprietary platform.</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limited operating history may make it difficult to evaluate the success of our business to date and to assess our future viability.</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never generated any revenue from sales of our TCR-T therapy product candidates, and our ability to generate revenue from product sales and become profitable depends significantly on our success in a number of areas.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need to obtain substantial additional funding to complete the development and any commercialization of our product candidates, if approved. If we are unable to raise this necessary capital when needed, we could be forced to delay, reduce or eliminate our product development programs, commercialization efforts or other operations.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identified conditions that raise substantial doubt about our ability to continue as a going concern.</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Raising additional capital may cause dilution to our existing stockholders, restrict our operations or require us to relinquish rights to our intellectual property or product candidates on unfavorable terms to us.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Global economic uncertainty and financial market volatility caused by political instability, changes in international trade relationships and conflicts could make it more difficult for us to access financing and could adversely affect our business and operations.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U.S. Congress and the Trump administration have made and may make substantial changes to fiscal, tax, and other federal policies that may adversely affect our business.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Recent volatility in capital markets and lower market prices for many securities may affect our ability to access new capital through sales of shares of our common stock or issuance of indebtedness, which may impact our liquidity, limit our ability to grow our business, pursue acquisitions or improve our operating infrastructure and restrict our ability to compete in our markets.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its financial condition and results of operations.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terms of our loan agreement place restrictions on our operating and financial flexibility. If we raise additional capital through debt financing, the terms of any new debt could further restrict our operating and financial flexibility.</w:t>
      </w:r>
    </w:p>
    <w:p>
      <w:pPr>
        <w:pStyle w:val="TextBody"/>
        <w:bidi w:val="0"/>
        <w:spacing w:before="360" w:after="283"/>
        <w:jc w:val="both"/>
        <w:rPr>
          <w:rFonts w:ascii="Times New Roman" w:hAnsi="Times New Roman"/>
          <w:sz w:val="20"/>
        </w:rPr>
      </w:pPr>
      <w:r>
        <w:rPr>
          <w:rFonts w:ascii="Times New Roman" w:hAnsi="Times New Roman"/>
          <w:b/>
          <w:color w:val="000000"/>
          <w:sz w:val="20"/>
        </w:rPr>
        <w:t>Risks Related to the Development of Our Product Candidates</w:t>
      </w:r>
      <w:r>
        <w:rPr>
          <w:rFonts w:ascii="Times New Roman" w:hAnsi="Times New Roman"/>
          <w:color w:val="000000"/>
          <w:sz w:val="20"/>
        </w:rPr>
        <w:t xml:space="preserve">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approach to the discovery and development of product candidates based on our proprietary platform represents a novel approach to cancer treatment, which creates significant challenges for us.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early in our development efforts. If we are unable to advance our product candidates through clinical development, obtain regulatory approval and ultimately commercialize our product candidates, or experience significant delays in doing so, our business will be materially harmed.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many of our personnel have extensive experience in clinical development and manufacturing at other companies, we have limited direct experience as a company in conducting clinical trials and managing a manufacturing facility for our product candidates.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preclinical studies and clinical trials may fail to demonstrate adequately the safety, potency and purity of any of our product candidates, which would prevent or delay development, regulatory approval and commercialization.</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could be adversely affected by the effects of health epidemics in regions where we, our partners or other third parties on which we rely have significant manufacturing facilities, concentrations of potential clinical trial sites or other business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rely on third parties to manufacture our clinical product supplies, and we may rely on third parties to produce and process our product candidates, if licensed.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cannot guarantee that our product candidates will show any functionality in the solid tumor microenvironment.</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Allogeneic hematopoietic cell transplantation (HCT) is a high-risk procedure that may result in complications or adverse events for patients in our clinical trials including those unrelated to the use of our product candidates.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product candidates may cause undesirable side effects or have other properties that could halt their clinical development, prevent their regulatory approval, require expansion of the trial size, limit their commercial potential, or result in other significant negative consequences.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encounter difficulties enrolling patients in our clinical trials, our clinical development activities could be delayed or otherwise adversely affected.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 opportunities for our product candidates may be relatively small. In addition, our estimates of the prevalence of our target patient populations may be inaccurate.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face significant competition, and our operating results will suffer if we fail to compete effectively.</w:t>
      </w:r>
    </w:p>
    <w:p>
      <w:pPr>
        <w:pStyle w:val="TextBody"/>
        <w:bidi w:val="0"/>
        <w:spacing w:before="360" w:after="283"/>
        <w:jc w:val="both"/>
        <w:rPr>
          <w:rFonts w:ascii="Times New Roman" w:hAnsi="Times New Roman"/>
          <w:sz w:val="20"/>
        </w:rPr>
      </w:pPr>
      <w:r>
        <w:rPr>
          <w:rFonts w:ascii="Times New Roman" w:hAnsi="Times New Roman"/>
          <w:b/>
          <w:color w:val="000000"/>
          <w:sz w:val="20"/>
        </w:rPr>
        <w:t>Risks Related to Manufacturing</w:t>
      </w:r>
      <w:r>
        <w:rPr>
          <w:rFonts w:ascii="Times New Roman" w:hAnsi="Times New Roman"/>
          <w:color w:val="000000"/>
          <w:sz w:val="20"/>
        </w:rPr>
        <w:t xml:space="preserve">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Manufacturing and administering our product candidates is complex and we may encounter difficulties in production, particularly with respect to process development or scaling up of our manufacturing capabilities. If we encounter such difficulties, our ability to provide supply of our TCR-T therapy product candidates for clinical trials or, if approved, for commercial purposes, could be delayed or stopped.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Although many of our personnel have experience in clinical manufacturing at other companies, we have limited experience as a company managing manufacturing for our product candidates, which will be costly and time-consuming, and which may not be successful.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have difficulty validating our manufacturing process as we manufacture TCR-T therapy product candidates from an increasingly diverse patient population for our clinical trials. </w:t>
      </w:r>
    </w:p>
    <w:p>
      <w:pPr>
        <w:pStyle w:val="TextBody"/>
        <w:bidi w:val="0"/>
        <w:spacing w:before="360" w:after="283"/>
        <w:jc w:val="both"/>
        <w:rPr>
          <w:rFonts w:ascii="Times New Roman" w:hAnsi="Times New Roman"/>
          <w:sz w:val="20"/>
        </w:rPr>
      </w:pPr>
      <w:r>
        <w:rPr>
          <w:rFonts w:ascii="Times New Roman" w:hAnsi="Times New Roman"/>
          <w:b/>
          <w:color w:val="000000"/>
          <w:sz w:val="20"/>
        </w:rPr>
        <w:t>Risks Related to Government Regulation</w:t>
      </w:r>
      <w:r>
        <w:rPr>
          <w:rFonts w:ascii="Times New Roman" w:hAnsi="Times New Roman"/>
          <w:color w:val="000000"/>
          <w:sz w:val="20"/>
        </w:rPr>
        <w:t xml:space="preserve">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regulatory approval process is lengthy and time-consuming, and we may experience significant delays in the clinical development and regulatory approval of our product candidates.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unable to obtain regulatory approval for our product candidates under applicable regulatory requirements. The denial or delay of any such approval would delay commercialization of our product candidates and adversely impact our potential to generate revenue, our business and our results of operations.</w:t>
      </w:r>
    </w:p>
    <w:p>
      <w:pPr>
        <w:pStyle w:val="TextBody"/>
        <w:bidi w:val="0"/>
        <w:spacing w:before="360" w:after="283"/>
        <w:jc w:val="both"/>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unable to obtain and maintain patent protection for any product candidates we develop and for our technology, or if the scope of the patent protection obtained is not sufficiently broad, our competitors could develop and commercialize products, product candidates and technology similar or identical to ours, and our ability to successfully commercialize any product candidates we may develop and our technology may be adversely affected.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currently, and expect in the future to be, party to material license or collaboration agreements, which may impose numerous obligations and restrictions on us.</w:t>
      </w:r>
    </w:p>
    <w:p>
      <w:pPr>
        <w:pStyle w:val="TextBody"/>
        <w:bidi w:val="0"/>
        <w:spacing w:before="360" w:after="283"/>
        <w:jc w:val="both"/>
        <w:rPr>
          <w:rFonts w:ascii="Times New Roman" w:hAnsi="Times New Roman"/>
          <w:sz w:val="20"/>
        </w:rPr>
      </w:pPr>
      <w:r>
        <w:rPr>
          <w:rFonts w:ascii="Times New Roman" w:hAnsi="Times New Roman"/>
          <w:b/>
          <w:color w:val="000000"/>
          <w:sz w:val="20"/>
        </w:rPr>
        <w:t>Risks Related to Our Reliance on Third Parties</w:t>
      </w:r>
      <w:r>
        <w:rPr>
          <w:rFonts w:ascii="Times New Roman" w:hAnsi="Times New Roman"/>
          <w:color w:val="000000"/>
          <w:sz w:val="20"/>
        </w:rPr>
        <w:t xml:space="preserve">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third parties to help us conduct our clinical trials. If these third parties do not properly and successfully carry out their contractual duties or meet expected deadlines, we may not be able to obtain regulatory approval of or commercialize our product candidates.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pPr>
      <w:r>
        <w:rPr>
          <w:rFonts w:ascii="Times New Roman" w:hAnsi="Times New Roman"/>
          <w:color w:val="000000"/>
          <w:sz w:val="20"/>
        </w:rPr>
        <w:t>Rising inflation rates may result in increased operating costs and reduced liquidity and affect our ability to access credit.</w:t>
        <w:br/>
      </w:r>
      <w:r>
        <w:rPr>
          <w:color w:val="000000"/>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Times New Roman" w:hAnsi="Times New Roman"/>
                  <w:color w:val="0000FF"/>
                  <w:sz w:val="20"/>
                  <w:u w:val="single"/>
                </w:rPr>
                <w:t>Condensed Consolidated Statements of Operations and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stockholders_equity">
              <w:r>
                <w:rPr>
                  <w:rStyle w:val="InternetLink"/>
                  <w:rFonts w:ascii="Times New Roman" w:hAnsi="Times New Roman"/>
                  <w:color w:val="0000FF"/>
                  <w:sz w:val="20"/>
                  <w:u w:val="single"/>
                </w:rPr>
                <w:t>Condensed Consolidated Statements of Stockholders’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Times New Roman" w:hAnsi="Times New Roman"/>
                  <w:color w:val="0000FF"/>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consolidated_financia">
              <w:r>
                <w:rPr>
                  <w:rStyle w:val="InternetLink"/>
                  <w:rFonts w:ascii="Times New Roman" w:hAnsi="Times New Roman"/>
                  <w:color w:val="0000FF"/>
                  <w:sz w:val="20"/>
                  <w:u w:val="single"/>
                </w:rPr>
                <w:t>Notes to Unaudited 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isk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36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jc w:val="center"/>
        <w:rPr>
          <w:rFonts w:ascii="Times New Roman" w:hAnsi="Times New Roman"/>
          <w:sz w:val="20"/>
        </w:rPr>
      </w:pPr>
      <w:r>
        <w:rPr>
          <w:rFonts w:ascii="Times New Roman" w:hAnsi="Times New Roman"/>
          <w:b/>
          <w:color w:val="000000"/>
          <w:sz w:val="20"/>
        </w:rPr>
        <w:t>TScan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4" w:name="condensed_consolidated_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14"/>
        <w:gridCol w:w="146"/>
        <w:gridCol w:w="211"/>
        <w:gridCol w:w="841"/>
        <w:gridCol w:w="166"/>
        <w:gridCol w:w="146"/>
        <w:gridCol w:w="214"/>
        <w:gridCol w:w="855"/>
        <w:gridCol w:w="412"/>
      </w:tblGrid>
      <w:tr>
        <w:trPr/>
        <w:tc>
          <w:tcPr>
            <w:tcW w:w="72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7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14"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152,406</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14"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4,802</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1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157,208</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8,706</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57,743</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5,031</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deposit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1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228,789</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14"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14"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7,668</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14"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Operating lease liability,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7,167</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14"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Deferred revenue,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2,619</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14"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1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18,695</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54,437</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32,534</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1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105,666</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$0.0001 par value; 10,000,000 shares authorized; no shares issued and outstanding at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Voting common stock, $0.0001 par value; 600,000,000 shares authorized; 63,502,667 and 52,625,035 shares issued and outstanding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Non-voting common stock, $0.0001 par value; 10,000,000 shares authorized; 4,276,588 shares issued and outstanding at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14"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627,979</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14"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14"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(563,887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(504,862</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1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123,123</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1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228,789</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TScan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5" w:name="condensed_consolidated_statements_operat"/>
      <w:bookmarkEnd w:id="5"/>
      <w:r>
        <w:rPr>
          <w:rFonts w:ascii="Times New Roman" w:hAnsi="Times New Roman"/>
          <w:b/>
          <w:color w:val="000000"/>
          <w:sz w:val="20"/>
        </w:rPr>
        <w:t>Condensed Consolidated Statements of Operations and Comprehensive Loss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304"/>
        <w:gridCol w:w="146"/>
        <w:gridCol w:w="211"/>
        <w:gridCol w:w="1141"/>
        <w:gridCol w:w="166"/>
        <w:gridCol w:w="146"/>
        <w:gridCol w:w="211"/>
        <w:gridCol w:w="1141"/>
        <w:gridCol w:w="166"/>
        <w:gridCol w:w="146"/>
        <w:gridCol w:w="211"/>
        <w:gridCol w:w="1141"/>
        <w:gridCol w:w="166"/>
        <w:gridCol w:w="146"/>
        <w:gridCol w:w="211"/>
        <w:gridCol w:w="1141"/>
        <w:gridCol w:w="411"/>
      </w:tblGrid>
      <w:tr>
        <w:trPr/>
        <w:tc>
          <w:tcPr>
            <w:tcW w:w="33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Collaboration and license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62,422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80,150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(74,903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(71,079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129,948,878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129,730,451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129,931,225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129,704,655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(71,079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Unrealized loss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(71,134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TScan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bookmarkStart w:id="6" w:name="statements_of_stockholders_equity"/>
      <w:bookmarkEnd w:id="6"/>
      <w:r>
        <w:rPr>
          <w:rFonts w:ascii="Times New Roman" w:hAnsi="Times New Roman"/>
          <w:b/>
          <w:color w:val="000000"/>
          <w:sz w:val="20"/>
        </w:rPr>
        <w:t>Condensed Consolidated Statements of Stockholders’ Equity</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spacing w:before="120" w:after="283"/>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1388" w:type="dxa"/>
        <w:jc w:val="left"/>
        <w:tblInd w:w="0" w:type="dxa"/>
        <w:tblLayout w:type="fixed"/>
        <w:tblCellMar>
          <w:top w:w="28" w:type="dxa"/>
          <w:left w:w="28" w:type="dxa"/>
          <w:bottom w:w="28" w:type="dxa"/>
          <w:right w:w="28" w:type="dxa"/>
        </w:tblCellMar>
      </w:tblPr>
      <w:tblGrid>
        <w:gridCol w:w="1321"/>
        <w:gridCol w:w="146"/>
        <w:gridCol w:w="146"/>
        <w:gridCol w:w="916"/>
        <w:gridCol w:w="146"/>
        <w:gridCol w:w="146"/>
        <w:gridCol w:w="345"/>
        <w:gridCol w:w="346"/>
        <w:gridCol w:w="146"/>
        <w:gridCol w:w="146"/>
        <w:gridCol w:w="146"/>
        <w:gridCol w:w="826"/>
        <w:gridCol w:w="146"/>
        <w:gridCol w:w="146"/>
        <w:gridCol w:w="345"/>
        <w:gridCol w:w="346"/>
        <w:gridCol w:w="146"/>
        <w:gridCol w:w="146"/>
        <w:gridCol w:w="196"/>
        <w:gridCol w:w="691"/>
        <w:gridCol w:w="166"/>
        <w:gridCol w:w="146"/>
        <w:gridCol w:w="526"/>
        <w:gridCol w:w="690"/>
        <w:gridCol w:w="166"/>
        <w:gridCol w:w="146"/>
        <w:gridCol w:w="217"/>
        <w:gridCol w:w="834"/>
        <w:gridCol w:w="166"/>
        <w:gridCol w:w="146"/>
        <w:gridCol w:w="228"/>
        <w:gridCol w:w="808"/>
        <w:gridCol w:w="21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Non-voting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52,314,039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4,276,588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619,423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210,202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 on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52,471,405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4,276,588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622,887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(446,175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176,714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55,824,722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4,276,588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630,443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(533,528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96,922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7,564,290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113,655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(30,359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63,502,667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4,276,588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632,898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(563,887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69,019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1388" w:type="dxa"/>
        <w:jc w:val="left"/>
        <w:tblInd w:w="0" w:type="dxa"/>
        <w:tblLayout w:type="fixed"/>
        <w:tblCellMar>
          <w:top w:w="28" w:type="dxa"/>
          <w:left w:w="28" w:type="dxa"/>
          <w:bottom w:w="28" w:type="dxa"/>
          <w:right w:w="28" w:type="dxa"/>
        </w:tblCellMar>
      </w:tblPr>
      <w:tblGrid>
        <w:gridCol w:w="1321"/>
        <w:gridCol w:w="146"/>
        <w:gridCol w:w="146"/>
        <w:gridCol w:w="916"/>
        <w:gridCol w:w="146"/>
        <w:gridCol w:w="146"/>
        <w:gridCol w:w="345"/>
        <w:gridCol w:w="346"/>
        <w:gridCol w:w="146"/>
        <w:gridCol w:w="146"/>
        <w:gridCol w:w="146"/>
        <w:gridCol w:w="826"/>
        <w:gridCol w:w="146"/>
        <w:gridCol w:w="146"/>
        <w:gridCol w:w="345"/>
        <w:gridCol w:w="346"/>
        <w:gridCol w:w="146"/>
        <w:gridCol w:w="146"/>
        <w:gridCol w:w="196"/>
        <w:gridCol w:w="691"/>
        <w:gridCol w:w="166"/>
        <w:gridCol w:w="146"/>
        <w:gridCol w:w="439"/>
        <w:gridCol w:w="777"/>
        <w:gridCol w:w="166"/>
        <w:gridCol w:w="146"/>
        <w:gridCol w:w="217"/>
        <w:gridCol w:w="834"/>
        <w:gridCol w:w="166"/>
        <w:gridCol w:w="146"/>
        <w:gridCol w:w="228"/>
        <w:gridCol w:w="808"/>
        <w:gridCol w:w="21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Non-voting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52,314,039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4,276,588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(375,096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240,970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(71,079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(71,079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 on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52,471,405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4,276,588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622,887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(446,175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176,714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52,625,035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4,276,588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627,979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(504,862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123,123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10,763,977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113,655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(59,025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63,502,667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4,276,588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632,898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(563,887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69,019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TScan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7" w:name="condensed_consolidated_statements_cash_f"/>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152"/>
        <w:gridCol w:w="146"/>
        <w:gridCol w:w="211"/>
        <w:gridCol w:w="781"/>
        <w:gridCol w:w="166"/>
        <w:gridCol w:w="146"/>
        <w:gridCol w:w="211"/>
        <w:gridCol w:w="781"/>
        <w:gridCol w:w="611"/>
      </w:tblGrid>
      <w:tr>
        <w:trPr/>
        <w:tc>
          <w:tcPr>
            <w:tcW w:w="71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(71,079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Accretion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Non-cash interest expense related to note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Right-of-use assets and lease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Accrued expense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(70,853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sale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(87,472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Maturities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152,250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61,967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issuance of common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for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for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183,720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174,425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Summary of cash, cash equivalents and restricted cash reported within the condensed consolidated balance sheets: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169,394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174,425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 of property and equipment in 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sz w:val="20"/>
        </w:rPr>
      </w:pPr>
      <w:r>
        <w:rPr>
          <w:rFonts w:ascii="Times New Roman" w:hAnsi="Times New Roman"/>
          <w:i/>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TSCAN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8" w:name="notes_to_condensed_consolidated_financia"/>
      <w:bookmarkEnd w:id="8"/>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 Nature of Business and Basis of Presentation</w:t>
      </w:r>
    </w:p>
    <w:p>
      <w:pPr>
        <w:pStyle w:val="TextBody"/>
        <w:bidi w:val="0"/>
        <w:spacing w:before="240" w:after="283"/>
        <w:ind w:left="489" w:right="0" w:hanging="0"/>
        <w:jc w:val="both"/>
        <w:rPr>
          <w:rFonts w:ascii="Times New Roman" w:hAnsi="Times New Roman"/>
          <w:b/>
          <w:i/>
          <w:color w:val="000000"/>
          <w:sz w:val="20"/>
        </w:rPr>
      </w:pPr>
      <w:r>
        <w:rPr>
          <w:rFonts w:ascii="Times New Roman" w:hAnsi="Times New Roman"/>
          <w:b/>
          <w:i/>
          <w:color w:val="000000"/>
          <w:sz w:val="20"/>
        </w:rPr>
        <w:t>Nature of Business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TScan Therapeutics, Inc. and its wholly-owned subsidiary, TScan Securities Corporation (the Company), is a biotechnology company that was incorporated in Delaware on April 17, 2018 and has a principal place of business in Waltham, Massachusetts. The Company is focused on developing a pipeline of TCR-T therapy product candidates for the treatment of patients with cancer.</w:t>
      </w:r>
    </w:p>
    <w:p>
      <w:pPr>
        <w:pStyle w:val="TextBody"/>
        <w:bidi w:val="0"/>
        <w:spacing w:before="240" w:after="283"/>
        <w:ind w:left="490" w:right="0" w:hanging="0"/>
        <w:jc w:val="both"/>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accompanying interim unaudited condensed consolidated financial statements have been prepared in accordance with generally accepted accounting principles in the United States (U.S. GAAP) and applicable rules and regulations of the Securities and Exchange Commission (the SEC) regarding interim financial reporting, and the instructions to Form 10-Q and Article 10 of Regulation S-X. Accordingly, they do not include all of the information and footnotes required by U.S. GAAP for complete financial statements. Management believes that the interim financial statements reflect all adjustments, which include only normal recurring adjustments necessary for the fair statement of the Company’s financial position, results of its operations and cash flows. The condensed consolidated financial statements include the accounts of TScan Therapeutics, Inc. and its subsidiary, TScan Securities Corporation. All intercompany balances and transactions have been eliminated in consolidation. The results for the three and six months ended June 30, 2026, are not necessarily indicative of results to be expected for the year ending December 31, 2026, any other interim periods, or any future year or period. The accompanying condensed consolidated financial statements should be read in conjunction with the Company’s audited consolidated financial statements and notes thereto included in the Company’s Annual Report on Form 10-K, which was filed with the SEC on March 4, 2026. In the opinion of the Company’s management, all adjustments (consisting of normal and recurring adjustments) considered necessary for a fair statement of the results for the interim periods presented have been included.</w:t>
      </w:r>
    </w:p>
    <w:p>
      <w:pPr>
        <w:pStyle w:val="TextBody"/>
        <w:bidi w:val="0"/>
        <w:spacing w:before="240" w:after="283"/>
        <w:ind w:left="0" w:right="0" w:firstLine="490"/>
        <w:jc w:val="both"/>
        <w:rPr>
          <w:rFonts w:ascii="Times New Roman" w:hAnsi="Times New Roman"/>
          <w:b/>
          <w:i/>
          <w:color w:val="000000"/>
          <w:sz w:val="20"/>
        </w:rPr>
      </w:pPr>
      <w:r>
        <w:rPr>
          <w:rFonts w:ascii="Times New Roman" w:hAnsi="Times New Roman"/>
          <w:b/>
          <w:i/>
          <w:color w:val="000000"/>
          <w:sz w:val="20"/>
        </w:rPr>
        <w:t>Risks, Uncertainties and Going Concern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is subject to risks common to companies in the biotechnology industry, including, but not limited to, successful development of technology, obtaining additional funding, protection of proprietary technology, compliance with government regulations, risks of failure of preclinical studies and clinical trials, the need to obtain marketing approval for its product candidates and the ability to successfully market any products that receive approval, fluctuations in operating results, economic pressure impacting therapeutic pricing, dependence on key personnel, risks associated with changes in technologies, development by competitors of technological innovations and the ability to scale manufacturing to large scale production.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 capabilities. Even if the Company’s development efforts are successful, it is uncertain when, if ever, the Company will realize significant revenue from sales.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These unaudited condensed consolidated financial statements have been prepared in accordance with U.S. generally accepted accounting principles assuming the Company will continue as a going concern. The going concern assumption contemplates the realization of assets and satisfaction of liabilities in the normal course of business. However, substantial doubt about the Company’s ability to continue as a going concern exists.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has primarily funded its operations with proceeds from sales of capital stock, payments received under its license and collaboration agreements and debt financings. Since inception, the Company has incurred recurring net losses, including net losses of $30.4 million and $37.0 million for the three months ended June 30, 2026 and 2025, respectively, and $59.0 million and $71.1 million for the six months ended June 30, 2026 and 2025, respectively. As of June 30, 2026, the Company had an accumulated deficit of $563.9 million.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of June 30, 2026, the Company had cash and cash equivalents of $100.2 million, excluding restricted cash of $5.0 million. In accordance with generally accepted accounting principles, the Company evaluated whether conditions and events, considered in the aggregate, raise substantial doubt about the Company’s ability to continue as a going concern for twelve months after the date these condensed consolidated financial statements are issued. The Company has sustained recurring losses since inception, used substantial cash in operations, and holds current liabilities due in relation to repayment of its debt. Furthermore, the Company expects to continue to incur operating losses and negative cash flows for the foreseeable future as it executes its strategic plan, including costs related to the research and development of its product candidates. Based on the Company’s current operating plan, existing cash and cash equivalents are not expected to be sufficient to fund the Company’s obligations for twelve months after the date these condensed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consolidated financial statements are issued. These conditions raise substantial doubt about the Company’s ability to continue as a going concern.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is evaluating strategies to obtain the required additional funding for future operations. These strategies may include, but are not limited to, entering into collaboration agreements, offerings of the Company’s equity securities, the incurrence of debt, or reductions in operating expenditures. However, there can be no assurance that the Company will be able to obtain additional liquidity when needed, on acceptable terms, or at all. Therefore, substantial doubt about the Company’s ability to continue as a going concern has not been alleviated.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unaudited condensed consolidated financial statements do not include any adjustments to the carrying amounts and classification of assets, liabilities, and reported expenses that may be necessary if the Company were unable to continue as a going concern.</w:t>
      </w:r>
    </w:p>
    <w:p>
      <w:pPr>
        <w:pStyle w:val="TextBody"/>
        <w:bidi w:val="0"/>
        <w:spacing w:before="240" w:after="283"/>
        <w:ind w:left="0" w:right="0" w:firstLine="490"/>
        <w:jc w:val="both"/>
        <w:rPr>
          <w:rFonts w:ascii="Times New Roman" w:hAnsi="Times New Roman"/>
          <w:b/>
          <w:i/>
          <w:color w:val="000000"/>
          <w:sz w:val="20"/>
        </w:rPr>
      </w:pPr>
      <w:r>
        <w:rPr>
          <w:rFonts w:ascii="Times New Roman" w:hAnsi="Times New Roman"/>
          <w:b/>
          <w:i/>
          <w:color w:val="000000"/>
          <w:sz w:val="20"/>
        </w:rPr>
        <w:t>Emerging Growth Company Status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qualifies as an “emerging growth company” as defined in the Jumpstart Our Business Startups Act of 2012 (JOBS Act) and has elected to “opt in” to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nonpublic companies.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accounting policies of the Company are set forth in Note 2 to the consolidated financial statements contained in the Company's Annual Report on Form 10-K for the year ended December 31, 2025, the accounting policies followed by the Company for interim financial reporting are consistent with the accounting policies therein.</w:t>
      </w:r>
    </w:p>
    <w:p>
      <w:pPr>
        <w:pStyle w:val="TextBody"/>
        <w:bidi w:val="0"/>
        <w:spacing w:before="120" w:after="283"/>
        <w:ind w:left="490" w:right="0" w:hanging="0"/>
        <w:jc w:val="both"/>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November 2024, the FASB issued Accounting Standards Update (ASU) 2024-04, Debt—Debt with Conversion and Other Options. ASU 2024-04 is intended to clarify requirements for determining whether certain settlements of convertible debt instruments, including convertible debt instruments with cash conversion features or convertible debt instruments that are not currently convertible, should be accounted for as an induced conversion. This ASU is effective for all entities for annual reporting periods beginning after December 15, 2025, and interim reporting periods within those annual reporting periods, with early adoption permitted. The Company adopted this guidance as of January 1, 2026, and there was no impact on the condensed consolidated financial statements.</w:t>
      </w:r>
    </w:p>
    <w:p>
      <w:pPr>
        <w:pStyle w:val="TextBody"/>
        <w:bidi w:val="0"/>
        <w:spacing w:before="120" w:after="283"/>
        <w:ind w:left="490" w:right="0" w:hanging="0"/>
        <w:jc w:val="both"/>
        <w:rPr>
          <w:rFonts w:ascii="Times New Roman" w:hAnsi="Times New Roman"/>
          <w:b/>
          <w:i/>
          <w:color w:val="000000"/>
          <w:sz w:val="20"/>
        </w:rPr>
      </w:pPr>
      <w:r>
        <w:rPr>
          <w:rFonts w:ascii="Times New Roman" w:hAnsi="Times New Roman"/>
          <w:b/>
          <w:i/>
          <w:color w:val="000000"/>
          <w:sz w:val="20"/>
        </w:rPr>
        <w:t>Recently Issued Accounting Pronouncements Not Yet Effective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November 2024, the FASB issued Accounting Standards Update (ASU) 2024-03, Income Statement—Reporting Comprehensive Income—Expense Disaggregation Disclosures. ASU 2024-03 is intended to improve disclosures about a public business entity’s expense and provide more detailed information to investors about the types of expenses in commonly presented expense captions. The amendments in this ASU are effective for annual reporting periods beginning after December 15, 2026, and interim reporting periods beginning after December 15, 2027, with early adoption permitted. The Company is currently evaluating the potential impact of this guidance on its disclosures.</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Fair Value Measurements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following tables set forth by level, within the fair value hierarchy, the assets carried at fair value (in thousands): </w:t>
      </w:r>
    </w:p>
    <w:p>
      <w:pPr>
        <w:pStyle w:val="TextBody"/>
        <w:bidi w:val="0"/>
        <w:ind w:left="0" w:right="0" w:firstLine="490"/>
        <w:jc w:val="both"/>
        <w:rPr/>
      </w:pPr>
      <w:r>
        <w:rPr/>
        <w:t> </w:t>
      </w:r>
    </w:p>
    <w:tbl>
      <w:tblPr>
        <w:tblW w:w="8825" w:type="dxa"/>
        <w:jc w:val="left"/>
        <w:tblInd w:w="0" w:type="dxa"/>
        <w:tblLayout w:type="fixed"/>
        <w:tblCellMar>
          <w:top w:w="28" w:type="dxa"/>
          <w:left w:w="28" w:type="dxa"/>
          <w:bottom w:w="28" w:type="dxa"/>
          <w:right w:w="28" w:type="dxa"/>
        </w:tblCellMar>
      </w:tblPr>
      <w:tblGrid>
        <w:gridCol w:w="3361"/>
        <w:gridCol w:w="146"/>
        <w:gridCol w:w="223"/>
        <w:gridCol w:w="715"/>
        <w:gridCol w:w="154"/>
        <w:gridCol w:w="154"/>
        <w:gridCol w:w="521"/>
        <w:gridCol w:w="410"/>
        <w:gridCol w:w="154"/>
        <w:gridCol w:w="154"/>
        <w:gridCol w:w="613"/>
        <w:gridCol w:w="483"/>
        <w:gridCol w:w="154"/>
        <w:gridCol w:w="154"/>
        <w:gridCol w:w="223"/>
        <w:gridCol w:w="715"/>
        <w:gridCol w:w="49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June 30, 2026 using</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Active </w:t>
              <w:br/>
              <w:t>Markets</w:t>
              <w:br/>
              <w:t>(Level 1)</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Observable</w:t>
              <w:br/>
              <w:t>Inputs</w:t>
              <w:br/>
              <w:t>(Level 2)</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w:t>
              <w:br/>
              <w:t>Inputs</w:t>
              <w:br/>
              <w:t>(Level 3)</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 – 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95,994</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95,994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95,994</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95,994</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9302" w:type="dxa"/>
        <w:jc w:val="left"/>
        <w:tblInd w:w="0" w:type="dxa"/>
        <w:tblLayout w:type="fixed"/>
        <w:tblCellMar>
          <w:top w:w="28" w:type="dxa"/>
          <w:left w:w="28" w:type="dxa"/>
          <w:bottom w:w="28" w:type="dxa"/>
          <w:right w:w="28" w:type="dxa"/>
        </w:tblCellMar>
      </w:tblPr>
      <w:tblGrid>
        <w:gridCol w:w="3496"/>
        <w:gridCol w:w="146"/>
        <w:gridCol w:w="232"/>
        <w:gridCol w:w="859"/>
        <w:gridCol w:w="160"/>
        <w:gridCol w:w="160"/>
        <w:gridCol w:w="521"/>
        <w:gridCol w:w="410"/>
        <w:gridCol w:w="160"/>
        <w:gridCol w:w="160"/>
        <w:gridCol w:w="613"/>
        <w:gridCol w:w="483"/>
        <w:gridCol w:w="160"/>
        <w:gridCol w:w="160"/>
        <w:gridCol w:w="232"/>
        <w:gridCol w:w="859"/>
        <w:gridCol w:w="49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December 31, 2025 using</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Active </w:t>
              <w:br/>
              <w:t>Markets</w:t>
              <w:br/>
              <w:t>(Level 1)</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Observable</w:t>
              <w:br/>
              <w:t>Inputs</w:t>
              <w:br/>
              <w:t>(Level 2)</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w:t>
              <w:br/>
              <w:t>Inputs</w:t>
              <w:br/>
              <w:t>(Level 3)</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 – 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146,196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146,196</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 – 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148,183</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148,183</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ind w:left="0" w:right="0" w:firstLine="720"/>
        <w:jc w:val="both"/>
        <w:rPr>
          <w:rFonts w:ascii="Times New Roman" w:hAnsi="Times New Roman"/>
          <w:color w:val="000000"/>
          <w:sz w:val="20"/>
        </w:rPr>
      </w:pPr>
      <w:r>
        <w:rPr>
          <w:rFonts w:ascii="Times New Roman" w:hAnsi="Times New Roman"/>
          <w:color w:val="000000"/>
          <w:sz w:val="20"/>
        </w:rPr>
        <w:t xml:space="preserve">Money market funds and government securities are valued by the Company based on quoted market prices, which represent a Level 1 measurement within the fair value hierarchy. There were no transfers among Level 1, Level 2, or Level 3 categories in the periods presented. </w:t>
      </w:r>
    </w:p>
    <w:p>
      <w:pPr>
        <w:pStyle w:val="TextBody"/>
        <w:bidi w:val="0"/>
        <w:spacing w:before="120" w:after="283"/>
        <w:ind w:left="0" w:right="0" w:firstLine="490"/>
        <w:jc w:val="both"/>
        <w:rPr>
          <w:rFonts w:ascii="Times New Roman" w:hAnsi="Times New Roman"/>
          <w:b/>
          <w:i/>
          <w:color w:val="000000"/>
          <w:sz w:val="20"/>
        </w:rPr>
      </w:pPr>
      <w:r>
        <w:rPr>
          <w:rFonts w:ascii="Times New Roman" w:hAnsi="Times New Roman"/>
          <w:b/>
          <w:i/>
          <w:color w:val="000000"/>
          <w:sz w:val="20"/>
        </w:rPr>
        <w:t>Assets and Liabilities Not Carried at Fair Value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carrying value of accounts payable and accrued expenses that are reported on the condensed consolidated balance sheets approximate fair value due to the short-term nature of these liabilities. Based on the borrowing rates currently available to the Company for bank loans with similar maturities, the fair value of long-term debt is approximately equal to its carrying amount as of June 30, 2026.</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4. Accrued Expenses and Other Current Liabilities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Accrued expenses and other current liabilities consisted of the following (in thousands): </w:t>
      </w:r>
    </w:p>
    <w:p>
      <w:pPr>
        <w:pStyle w:val="TextBody"/>
        <w:bidi w:val="0"/>
        <w:jc w:val="both"/>
        <w:rPr/>
      </w:pPr>
      <w:r>
        <w:rPr/>
        <w:t> </w:t>
      </w:r>
    </w:p>
    <w:tbl>
      <w:tblPr>
        <w:tblW w:w="7367" w:type="dxa"/>
        <w:jc w:val="left"/>
        <w:tblInd w:w="0" w:type="dxa"/>
        <w:tblLayout w:type="fixed"/>
        <w:tblCellMar>
          <w:top w:w="28" w:type="dxa"/>
          <w:left w:w="28" w:type="dxa"/>
          <w:bottom w:w="28" w:type="dxa"/>
          <w:right w:w="28" w:type="dxa"/>
        </w:tblCellMar>
      </w:tblPr>
      <w:tblGrid>
        <w:gridCol w:w="4561"/>
        <w:gridCol w:w="146"/>
        <w:gridCol w:w="211"/>
        <w:gridCol w:w="571"/>
        <w:gridCol w:w="146"/>
        <w:gridCol w:w="146"/>
        <w:gridCol w:w="294"/>
        <w:gridCol w:w="801"/>
        <w:gridCol w:w="491"/>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employee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4,145</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2,458</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consulting and 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services and license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7,668</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5. Stockholders' Equity</w:t>
      </w:r>
    </w:p>
    <w:p>
      <w:pPr>
        <w:pStyle w:val="TextBody"/>
        <w:bidi w:val="0"/>
        <w:spacing w:before="120" w:after="283"/>
        <w:ind w:left="0" w:right="0" w:firstLine="490"/>
        <w:jc w:val="both"/>
        <w:rPr>
          <w:rFonts w:ascii="Times New Roman" w:hAnsi="Times New Roman"/>
          <w:b/>
          <w:i/>
          <w:color w:val="000000"/>
          <w:sz w:val="20"/>
        </w:rPr>
      </w:pPr>
      <w:r>
        <w:rPr>
          <w:rFonts w:ascii="Times New Roman" w:hAnsi="Times New Roman"/>
          <w:b/>
          <w:i/>
          <w:color w:val="000000"/>
          <w:sz w:val="20"/>
        </w:rPr>
        <w:t>ATM Program</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On May 16, 2023, the Company entered into a sales agreement (the Sales Agreement) with Wedbush Securities, Inc. (Wedbush), as sales agent, pursuant to which the Company could offer, issue and sell up to an aggregate amount of $75.0 million of shares of the Company's voting common stock, par value $0.0001 per share (Voting Common Stock), from time to time in “at-the-market” (ATM) offerings during the term of the Sales Agreement. No Voting Common Stock has been sold under this Sales Agreement to date.</w:t>
      </w:r>
    </w:p>
    <w:p>
      <w:pPr>
        <w:pStyle w:val="TextBody"/>
        <w:bidi w:val="0"/>
        <w:spacing w:before="120" w:after="283"/>
        <w:ind w:left="0" w:right="0" w:firstLine="490"/>
        <w:jc w:val="both"/>
        <w:rPr>
          <w:rFonts w:ascii="Times New Roman" w:hAnsi="Times New Roman"/>
          <w:b/>
          <w:i/>
          <w:color w:val="000000"/>
          <w:sz w:val="20"/>
        </w:rPr>
      </w:pPr>
      <w:r>
        <w:rPr>
          <w:rFonts w:ascii="Times New Roman" w:hAnsi="Times New Roman"/>
          <w:b/>
          <w:i/>
          <w:color w:val="000000"/>
          <w:sz w:val="20"/>
        </w:rPr>
        <w:t>Equity Offerings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On June 1, 2023, the Company completed an underwritten public offering resulting in the issuance and sale of (a) 23,287,134 shares of Voting Common Stock, at a price of $2.00 per share, and (b) pre-funded warrants (Pre-Funded Warrants) to purchase up to 47,010,526 shares of the Voting Common Stock with an exercise price of $0.0001 per share. The Pre-Funded Warrants were issued at a purchase price of $1.9999 per warrant, resulting in aggregate net proceeds of $134.7 million after deducting underwriting discounts, commissions and other offering expenses, with $42.4 million allocated to the Voting Common Stock and $92.3 million allocated to Pre-Funded Warrants.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On April 24, 2024, the Company completed an underwritten public offering resulting in the issuance and sale of (a) 4,958,068 shares of Voting Common Stock, including the partial exercise of the underwriters’ option to purchase 2,485,487 additional shares of Voting Common Stock, at the closing market price on April 16, 2024, of $7.13 per share, and (b) Pre-Funded Warrants to purchase up to 18,577,419 shares of the Voting Common Stock with an exercise price of $0.0001 per share. The Pre-Funded Warrants were issued at a purchase price of $7.1299 per warrant, resulting in aggregate net proceeds of approximately $161.4 million after deducting underwriting discounts, commissions and other offering expenses, with $33.1 million allocated to the Voting Common Stock and $128.3 million allocated to Pre-Funded Warrants.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On December 27, 2024, the Company completed a registered direct offering with an existing investor for the issuance of Pre-Funded Warrants to purchase up to 7,500,000 shares of the Company's Voting Common Stock, with an exercise price of $0.0001 per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warrant. The Pre-Funded Warrants were issued at a purchase price of $4.00 per warrant, resulting in gross proceeds of approximately $30.0 million, before deducting offering expenses of $0.2 million.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Pre-Funded Warrants are immediately exercisable subject to certain ownership limitations, have an exercise price of $0.0001 per share, may be exercised at any time and do not expire. The Pre-Funded Warrants were determined to be equity classified because they are freestanding financial instruments that are legally detachable and separately exercisable from the equity instruments, are immediately exercisable, do not embody an obligation for the Company to repurchase its shares, permit the holders to receive a fixed number of common shares upon exercise, are indexed to the Company’s common stock and meet the equity classification criteria. In addition, the Pre-Funded Warrants do not provide any guarantee of value or return. As such, proceeds received from the issuance from the Pre-Funded Warrants were recorded as a component of stockholders’ equity within additional paid-in capital. During the three and six months ended June 30, 2026, the Company issued an aggregate of 7,564,290 and 10,763,977 shares of its common stock pursuant to the cashless exercise of 7,565,060 and 10,765,060 Pre-Funded Warrants, respectively, at a weighted average exercise price of $0.0001 per share. The Company did not issue any common stock pursuant to the exercise of Pre-Funded Warrants during the three and six months ended June 30, 2025.</w:t>
      </w:r>
    </w:p>
    <w:p>
      <w:pPr>
        <w:pStyle w:val="TextBody"/>
        <w:bidi w:val="0"/>
        <w:spacing w:before="120" w:after="283"/>
        <w:ind w:left="0" w:right="0" w:firstLine="490"/>
        <w:jc w:val="both"/>
        <w:rPr>
          <w:rFonts w:ascii="Times New Roman" w:hAnsi="Times New Roman"/>
          <w:b/>
          <w:i/>
          <w:color w:val="000000"/>
          <w:sz w:val="20"/>
        </w:rPr>
      </w:pPr>
      <w:r>
        <w:rPr>
          <w:rFonts w:ascii="Times New Roman" w:hAnsi="Times New Roman"/>
          <w:b/>
          <w:i/>
          <w:color w:val="000000"/>
          <w:sz w:val="20"/>
        </w:rPr>
        <w:t>Common Stock Reserved for Future Issuance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has reserved the following shares of common stock for future issuance:</w:t>
      </w:r>
    </w:p>
    <w:tbl>
      <w:tblPr>
        <w:tblW w:w="10129" w:type="dxa"/>
        <w:jc w:val="left"/>
        <w:tblInd w:w="0" w:type="dxa"/>
        <w:tblLayout w:type="fixed"/>
        <w:tblCellMar>
          <w:top w:w="28" w:type="dxa"/>
          <w:left w:w="28" w:type="dxa"/>
          <w:bottom w:w="28" w:type="dxa"/>
          <w:right w:w="28" w:type="dxa"/>
        </w:tblCellMar>
      </w:tblPr>
      <w:tblGrid>
        <w:gridCol w:w="6736"/>
        <w:gridCol w:w="146"/>
        <w:gridCol w:w="146"/>
        <w:gridCol w:w="1036"/>
        <w:gridCol w:w="146"/>
        <w:gridCol w:w="146"/>
        <w:gridCol w:w="146"/>
        <w:gridCol w:w="1036"/>
        <w:gridCol w:w="591"/>
      </w:tblGrid>
      <w:tr>
        <w:trPr/>
        <w:tc>
          <w:tcPr>
            <w:tcW w:w="6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20,349,469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16,004,393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Pre-Funded Warrants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62,246,707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73,011,767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future grant under the 2021 equity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8,283,482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7,432,023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future issuance under the 2021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1,771,927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1,316,566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shares of common stock reserved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92,651,585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97,764,749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6. Collaboration and License Agreements</w:t>
      </w:r>
    </w:p>
    <w:p>
      <w:pPr>
        <w:pStyle w:val="TextBody"/>
        <w:bidi w:val="0"/>
        <w:spacing w:before="120" w:after="283"/>
        <w:ind w:left="0" w:right="0" w:firstLine="490"/>
        <w:jc w:val="both"/>
        <w:rPr>
          <w:rFonts w:ascii="Times New Roman" w:hAnsi="Times New Roman"/>
          <w:b/>
          <w:i/>
          <w:color w:val="000000"/>
          <w:sz w:val="20"/>
        </w:rPr>
      </w:pPr>
      <w:r>
        <w:rPr>
          <w:rFonts w:ascii="Times New Roman" w:hAnsi="Times New Roman"/>
          <w:b/>
          <w:i/>
          <w:color w:val="000000"/>
          <w:sz w:val="20"/>
        </w:rPr>
        <w:t>Amgen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On May 8, 2023, the Company entered into a Collaboration Agreement (the Amgen Agreement) with Amgen Inc. (Amgen) to identify antigens recognized by T cells in patients with Crohn’s disease in accordance with a research plan. Under the terms of the Amgen Agreement, Amgen will retain all global development and commercialization rights, as well as an option to expand the collaboration to include target discovery for ulcerative colitis, under certain pre-specified terms. The proceeds from the Amgen Agreement include an upfront payment of $30 million, which was collected in July 2023. In addition, the Company is eligible to earn success-based milestone payments of over $500 million, based upon the achievement of certain clinical development and commercial milestones, as well as tiered single-digit royalty payments on net sales of products developed from the collaboration, subject to reductions set forth in the Amgen Agreement.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concluded that Amgen meets the definition of a customer, as the Company is delivering research and development activities and a license of intellectual property. The Company identified performance obligations for research and development activities, the license, data reporting and participation in joint steering and research committees, which were determined to be a single combined performance obligation due to the services and licenses being highly interrelated.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For a certain time period during the term of the Amgen Agreement, Amgen has an option to add targets to the collaboration for payments specified in the agreement. Pursuant to the Amgen Agreement, the option for Amgen to select additional targets and to license, develop, and commercialize targets is not a performance obligation at the outset as these are customer options that do not represent material rights.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looked to the promises in the arrangement to determine the method of recognition that best depicted the transfer of the services and the satisfaction of the combined performance obligations. The Company concluded that the performance of the research services over the expected research term was the predominant promise within the performance obligation. The Company will recognize the revenue associated with the performance obligation using an input method. The method of measuring progress towards delivery of the services incorporates actual internal and external costs incurred, relative to total internal and external costs expected to be incurred to satisfy the performance obligation. Changes in estimates of total internal and external costs expected to be incurred are recognized in the period of change as a cumulative catch-up adjustment. As costs are incurred, the Company will recognize revenue over time. At this time, it is estimated that the research term will be approximately three years.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Company determined the $30.0 million upfront payment to be the entirety of the consideration to be included in the transaction price as of the onset of the arrangement. The option to add additional targets was not included in the transaction price as they were assessed to be improbable at this time. The potential milestone and royalty payments that the Company is eligible to receive were also excluded from the transaction price, as all milestone and royalty amounts were fully constrained based on the assessed probability of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achievement. The Company will continue to assess the probability of the option to add additional targets and the probability of milestone achievement throughout the research term and will adjust the consideration in the contract accordingly.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$30.0 million up-front payment was invoiced in June 2023 and was fully collected in July 2023. During the three months ended June 30, 2026 and 2025, the Company recognized $1.1 million and $3.1 million, respectively, and during the six months ended June 30, 2026 and 2025, the Company recognized $2.0 million and $5.2 million, respectively, of revenue associated with the Amgen Agreement. As of June 30, 2026, the Company recorded $0.6 million of deferred revenue which is classified as current.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7. Commitments and Contingencies</w:t>
      </w:r>
    </w:p>
    <w:p>
      <w:pPr>
        <w:pStyle w:val="TextBody"/>
        <w:bidi w:val="0"/>
        <w:spacing w:before="120" w:after="283"/>
        <w:ind w:left="0" w:right="0" w:firstLine="490"/>
        <w:jc w:val="both"/>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leases office space under non-cancelable operating lease agreements. There have been no material changes to the Company's leases during the period ended June 30, 2026. </w:t>
      </w:r>
    </w:p>
    <w:p>
      <w:pPr>
        <w:pStyle w:val="TextBody"/>
        <w:bidi w:val="0"/>
        <w:spacing w:before="120" w:after="283"/>
        <w:ind w:left="0" w:right="0" w:firstLine="490"/>
        <w:jc w:val="both"/>
        <w:rPr>
          <w:rFonts w:ascii="Times New Roman" w:hAnsi="Times New Roman"/>
          <w:b/>
          <w:i/>
          <w:color w:val="000000"/>
          <w:sz w:val="20"/>
        </w:rPr>
      </w:pPr>
      <w:r>
        <w:rPr>
          <w:rFonts w:ascii="Times New Roman" w:hAnsi="Times New Roman"/>
          <w:b/>
          <w:i/>
          <w:color w:val="000000"/>
          <w:sz w:val="20"/>
        </w:rPr>
        <w:t>Brigham and Women’s License Agreement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obtained the worldwide exclusive license to its foundational technology from the Brigham and Women’s Hospital, Inc. (BWH). The license, as amended, grants worldwide exclusive use to the patent underlying the TargetScan technology in exchange for fees including development milestones and various royalties on product sales should they occur in the future.</w:t>
      </w:r>
    </w:p>
    <w:p>
      <w:pPr>
        <w:pStyle w:val="TextBody"/>
        <w:bidi w:val="0"/>
        <w:spacing w:before="120" w:after="283"/>
        <w:ind w:left="0" w:right="0" w:firstLine="490"/>
        <w:jc w:val="both"/>
        <w:rPr>
          <w:rFonts w:ascii="Times New Roman" w:hAnsi="Times New Roman"/>
          <w:b/>
          <w:i/>
          <w:color w:val="000000"/>
          <w:sz w:val="20"/>
        </w:rPr>
      </w:pPr>
      <w:r>
        <w:rPr>
          <w:rFonts w:ascii="Times New Roman" w:hAnsi="Times New Roman"/>
          <w:b/>
          <w:i/>
          <w:color w:val="000000"/>
          <w:sz w:val="20"/>
        </w:rPr>
        <w:t>Royalty Agreement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June 2018, the Company amended and restated an existing royalty agreement with one of its founders. Under the amended and restated royalty agreement, the Company agreed to pay the founder an aggregate royalty of 1% of net sales of any product sold by the Company or by any of its direct or indirect licensees for use in the treatment of any disease or disorder covered by a pending patent application or issued patent held or controlled by the Company as of the last date that the founder was providing services to the Company as a director or consultant under a written agreement in perpetuity. Royalties are payable with respect to each applicable product for a defined period of time set forth in the royalty agreement. The founder assigned his rights and obligations under the royalty agreement to one of his affiliated entities in January 2021.</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8. Loan and Security Agreements</w:t>
      </w:r>
    </w:p>
    <w:p>
      <w:pPr>
        <w:pStyle w:val="TextBody"/>
        <w:bidi w:val="0"/>
        <w:spacing w:before="120" w:after="283"/>
        <w:ind w:left="0" w:right="0" w:firstLine="490"/>
        <w:jc w:val="both"/>
        <w:rPr>
          <w:rFonts w:ascii="Times New Roman" w:hAnsi="Times New Roman"/>
          <w:b/>
          <w:i/>
          <w:color w:val="000000"/>
          <w:sz w:val="20"/>
        </w:rPr>
      </w:pPr>
      <w:r>
        <w:rPr>
          <w:rFonts w:ascii="Times New Roman" w:hAnsi="Times New Roman"/>
          <w:b/>
          <w:i/>
          <w:color w:val="000000"/>
          <w:sz w:val="20"/>
        </w:rPr>
        <w:t>Silicon Valley Bank</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On December 20, 2024 (the “Effective Date”), the Company entered into a Loan and Security Agreement (the “SVB Loan Agreement”) with Silicon Valley Bank, a division of First-Citizens Bank &amp; Trust Company (“SVB”). Under the SVB Loan Agreement, SVB agreed to provide a non-convertible term loan facility of up to $52.5 million, consisting of a first tranche of $32.5 million, which was fully funded on the Effective Date, and a second tranche of $20.0 million, which was available to the Company at the lender’s sole discretion on or prior to June 30, 2026. As of June 30, 2026, the Company had not drawn the second tranche.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Under the SVB Loan Agreement, the term loans would mature on September 1, 2029, and would be subject to monthly interest only payments until September 30, 2027, provided the Company achieved both a certain financial and a certain clinical milestone by June 30, 2026, upon which the term loans would amortize with monthly installments of principal and interest beginning October 1, 2027 until maturity on September 1, 2029. No additional term loans were drawn and the availability of such additional terms loans expired on June 30, 2026. As of June 30, 2026, the $32.5 million term loan remained outstanding under the SVB Loan Agreement. The Company did not achieve the specified financial milestone by June 30, 2026, and therefore, as provided in the SVB Loan Agreement, the interest-only period for such term loan will end on September 30, 2026, upon which monthly payments of principal and interest will be made thereafter until maturity on September 1, 2028.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term loans will accrue interest at a per annum rate equal to the greater of (i) 7.00% and (ii) the prime rate (as last quoted in The Wall Street Journal), minus 0.75%; provided that such interest rate shall not exceed 9.75% per annum. The Company will be liable for a final payment that is due on the earliest to occur of (a) the maturity date, (b) the repayment of the term loans in full, and (c) the date upon which the term loans are accelerated by the lender, in an amount equal to the aggregate original principal amount of the term loans extended by the lender to the Company, multiplied by 5.0% (Exit Fee). In addition, the Company will be liable for a prepayment fee equal to (x) 3.0% of the principal amount of term loans prepaid during the first year of the term, (y) 2.0% of the principal amount of term loans prepaid during the second year of the term, and (z) 1.0% of the principal amount of term loans prepaid thereafter. The term loans will automatically accelerate upon the occurrence of a bankruptcy or insolvency event involving the Company or its subsidiaries.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SVB Loan Agreement contains customary representations and warranties, events of default and affirmative and negative covenants, including covenants that limit or restrict the Company’s and its subsidiaries’ ability to, among other things, dispose of assets, make changes to its business, management, ownership or business locations, merge or consolidate, incur additional indebtedness, grant liens on its assets, pay dividends or other distributions, repurchase equity, make investments, and enter into certain transactions with affiliates, in each case subject to certain thresholds and exceptions. The SVB Loan Agreement does not require the Company to comply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with a financial maintenance covenant. As collateral for its obligations under the SVB Loan Agreement, the Company granted the lender a first-priority security interest on substantially all of the Company’s assets (other than intellectual property), subject to certain exceptions. The Company’s obligations under the SVB Loan Agreement will be guaranteed by each of the Company’s future direct or indirect subsidiaries, subject to certain exceptions.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Company recorded $0.7 million in interest expense for each of the three months ended June 30, 2026 and 2025, and $1.4 million for each of the six months ended June 30, 2026 and 2025. The effective interest rate on the SVB Loan Agreement, including the amortization of the debt discount and issuance costs, and accretion of the Exit Fee, was 9.24% at June 30, 2026.</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Future principal payments as of June 30, 2026 are as follows (in thousands):</w:t>
      </w:r>
    </w:p>
    <w:p>
      <w:pPr>
        <w:pStyle w:val="TextBody"/>
        <w:bidi w:val="0"/>
        <w:ind w:left="0" w:right="0" w:firstLine="490"/>
        <w:jc w:val="both"/>
        <w:rPr/>
      </w:pPr>
      <w:r>
        <w:rPr/>
        <w:t> </w:t>
      </w:r>
    </w:p>
    <w:tbl>
      <w:tblPr>
        <w:tblW w:w="4969" w:type="dxa"/>
        <w:jc w:val="left"/>
        <w:tblInd w:w="0" w:type="dxa"/>
        <w:tblLayout w:type="fixed"/>
        <w:tblCellMar>
          <w:top w:w="28" w:type="dxa"/>
          <w:left w:w="28" w:type="dxa"/>
          <w:bottom w:w="28" w:type="dxa"/>
          <w:right w:w="28" w:type="dxa"/>
        </w:tblCellMar>
      </w:tblPr>
      <w:tblGrid>
        <w:gridCol w:w="3811"/>
        <w:gridCol w:w="211"/>
        <w:gridCol w:w="736"/>
        <w:gridCol w:w="211"/>
      </w:tblGrid>
      <w:tr>
        <w:trPr/>
        <w:tc>
          <w:tcPr>
            <w:tcW w:w="38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principal payments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 Final payment fee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debt discount and final fee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32,779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long-term debt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21,072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9. Segment Reporting</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Operating segments are defined as components of the entity for which separate financial information is made available and that is regularly evaluated by the chief operating decision maker (CODM) in making decisions regarding resource allocation and assessing performance. The Company's CODM is its Chief Executive Officer and the Company manages its operations as a single segment for the purposes of assessing performance and making operating decisions. The Company is focused on the development of TCR-T therapy product candidates for the treatment of patients with cancer.</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CODM assesses the Company's performance by reviewing GAAP net loss and significant expenses by function along with the annual budget. The CODM considers budget-to-actual variances on a quarterly basis when making decisions about the allocation of operating and capital resources.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following table provides information about the Company's single operating segment which includes significant expenses by function along with significant non-cash expense items.</w:t>
      </w:r>
    </w:p>
    <w:p>
      <w:pPr>
        <w:pStyle w:val="TextBody"/>
        <w:bidi w:val="0"/>
        <w:ind w:left="0" w:right="0" w:firstLine="490"/>
        <w:jc w:val="both"/>
        <w:rPr/>
      </w:pPr>
      <w:r>
        <w:rPr/>
        <w:t> </w:t>
      </w:r>
    </w:p>
    <w:tbl>
      <w:tblPr>
        <w:tblW w:w="9546" w:type="dxa"/>
        <w:jc w:val="left"/>
        <w:tblInd w:w="0" w:type="dxa"/>
        <w:tblLayout w:type="fixed"/>
        <w:tblCellMar>
          <w:top w:w="28" w:type="dxa"/>
          <w:left w:w="28" w:type="dxa"/>
          <w:bottom w:w="28" w:type="dxa"/>
          <w:right w:w="28" w:type="dxa"/>
        </w:tblCellMar>
      </w:tblPr>
      <w:tblGrid>
        <w:gridCol w:w="4431"/>
        <w:gridCol w:w="211"/>
        <w:gridCol w:w="736"/>
        <w:gridCol w:w="166"/>
        <w:gridCol w:w="146"/>
        <w:gridCol w:w="211"/>
        <w:gridCol w:w="736"/>
        <w:gridCol w:w="166"/>
        <w:gridCol w:w="146"/>
        <w:gridCol w:w="211"/>
        <w:gridCol w:w="736"/>
        <w:gridCol w:w="166"/>
        <w:gridCol w:w="146"/>
        <w:gridCol w:w="211"/>
        <w:gridCol w:w="736"/>
        <w:gridCol w:w="391"/>
      </w:tblGrid>
      <w:tr>
        <w:trPr/>
        <w:tc>
          <w:tcPr>
            <w:tcW w:w="44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Collaboration and license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Personnel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Facility-related and other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Laboratory supplies, research materials and studies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21,590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Clinical studies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Personnel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Legal and professional fees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Facility-related and other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(expense) income:</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and other income,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expense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(71,079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10. Net Loss Per Share</w:t>
      </w:r>
    </w:p>
    <w:p>
      <w:pPr>
        <w:pStyle w:val="TextBody"/>
        <w:bidi w:val="0"/>
        <w:spacing w:before="120" w:after="283"/>
        <w:ind w:left="490" w:right="0" w:hanging="0"/>
        <w:jc w:val="both"/>
        <w:rPr>
          <w:rFonts w:ascii="Times New Roman" w:hAnsi="Times New Roman"/>
          <w:b/>
          <w:i/>
          <w:color w:val="000000"/>
          <w:sz w:val="20"/>
        </w:rPr>
      </w:pPr>
      <w:r>
        <w:rPr>
          <w:rFonts w:ascii="Times New Roman" w:hAnsi="Times New Roman"/>
          <w:b/>
          <w:i/>
          <w:color w:val="000000"/>
          <w:sz w:val="20"/>
        </w:rPr>
        <w:t>Net Loss Per Share</w:t>
      </w:r>
    </w:p>
    <w:p>
      <w:pPr>
        <w:pStyle w:val="TextBody"/>
        <w:bidi w:val="0"/>
        <w:spacing w:before="120" w:after="120"/>
        <w:ind w:left="0" w:right="0" w:firstLine="490"/>
        <w:jc w:val="both"/>
        <w:rPr>
          <w:rFonts w:ascii="Times New Roman" w:hAnsi="Times New Roman"/>
          <w:color w:val="000000"/>
          <w:sz w:val="20"/>
        </w:rPr>
      </w:pPr>
      <w:r>
        <w:rPr>
          <w:rFonts w:ascii="Times New Roman" w:hAnsi="Times New Roman"/>
          <w:color w:val="000000"/>
          <w:sz w:val="20"/>
        </w:rPr>
        <w:t>Basic and diluted net loss per share was calculated as follows (in thousands, except share and per share data):</w:t>
      </w:r>
    </w:p>
    <w:tbl>
      <w:tblPr>
        <w:tblW w:w="10205" w:type="dxa"/>
        <w:jc w:val="left"/>
        <w:tblInd w:w="0" w:type="dxa"/>
        <w:tblLayout w:type="fixed"/>
        <w:tblCellMar>
          <w:top w:w="28" w:type="dxa"/>
          <w:left w:w="28" w:type="dxa"/>
          <w:bottom w:w="28" w:type="dxa"/>
          <w:right w:w="28" w:type="dxa"/>
        </w:tblCellMar>
      </w:tblPr>
      <w:tblGrid>
        <w:gridCol w:w="3504"/>
        <w:gridCol w:w="146"/>
        <w:gridCol w:w="211"/>
        <w:gridCol w:w="1141"/>
        <w:gridCol w:w="166"/>
        <w:gridCol w:w="146"/>
        <w:gridCol w:w="211"/>
        <w:gridCol w:w="1141"/>
        <w:gridCol w:w="166"/>
        <w:gridCol w:w="146"/>
        <w:gridCol w:w="211"/>
        <w:gridCol w:w="1141"/>
        <w:gridCol w:w="166"/>
        <w:gridCol w:w="146"/>
        <w:gridCol w:w="211"/>
        <w:gridCol w:w="1141"/>
        <w:gridCol w:w="211"/>
      </w:tblGrid>
      <w:tr>
        <w:trPr/>
        <w:tc>
          <w:tcPr>
            <w:tcW w:w="35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129,948,878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129,730,451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129,931,225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129,704,655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ind w:left="0" w:right="0" w:firstLine="720"/>
        <w:jc w:val="both"/>
        <w:rPr>
          <w:rFonts w:ascii="Times New Roman" w:hAnsi="Times New Roman"/>
          <w:color w:val="000000"/>
          <w:sz w:val="20"/>
        </w:rPr>
      </w:pPr>
      <w:r>
        <w:rPr>
          <w:rFonts w:ascii="Times New Roman" w:hAnsi="Times New Roman"/>
          <w:color w:val="000000"/>
          <w:sz w:val="20"/>
        </w:rPr>
        <w:t>The 62,246,707 shares of the Company's common stock issuable upon exercise of the Pre-Funded Warrants described in Note 5 are included as outstanding common stock in the calculation of basic and diluted net loss per share.</w:t>
      </w:r>
    </w:p>
    <w:p>
      <w:pPr>
        <w:pStyle w:val="TextBody"/>
        <w:bidi w:val="0"/>
        <w:spacing w:before="120" w:after="120"/>
        <w:ind w:left="0" w:right="0" w:firstLine="490"/>
        <w:jc w:val="both"/>
        <w:rPr>
          <w:rFonts w:ascii="Times New Roman" w:hAnsi="Times New Roman"/>
          <w:color w:val="000000"/>
          <w:sz w:val="20"/>
        </w:rPr>
      </w:pPr>
      <w:r>
        <w:rPr>
          <w:rFonts w:ascii="Times New Roman" w:hAnsi="Times New Roman"/>
          <w:color w:val="000000"/>
          <w:sz w:val="20"/>
        </w:rPr>
        <w:t>The Company has two classes of common stock, each with identical participation rights to earnings and liquidation preferences, and therefore the calculation of net loss per share as described above is identical to the calculation under the two-class method. The Company excluded the following potential common shares from the computation of diluted net loss per share for the periods indicated because including them would have had an anti-dilutive effect:</w:t>
      </w:r>
    </w:p>
    <w:tbl>
      <w:tblPr>
        <w:tblW w:w="8859" w:type="dxa"/>
        <w:jc w:val="left"/>
        <w:tblInd w:w="0" w:type="dxa"/>
        <w:tblLayout w:type="fixed"/>
        <w:tblCellMar>
          <w:top w:w="28" w:type="dxa"/>
          <w:left w:w="28" w:type="dxa"/>
          <w:bottom w:w="28" w:type="dxa"/>
          <w:right w:w="28" w:type="dxa"/>
        </w:tblCellMar>
      </w:tblPr>
      <w:tblGrid>
        <w:gridCol w:w="5866"/>
        <w:gridCol w:w="146"/>
        <w:gridCol w:w="146"/>
        <w:gridCol w:w="1036"/>
        <w:gridCol w:w="146"/>
        <w:gridCol w:w="146"/>
        <w:gridCol w:w="146"/>
        <w:gridCol w:w="1036"/>
        <w:gridCol w:w="19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20,349,469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17,917,902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Potential shares issuable under the 2021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200,755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109,984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20,550,224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18,027,886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9" w:name="item_2_managements_discussion_analysis_f"/>
      <w:bookmarkEnd w:id="9"/>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ind w:left="0" w:right="0" w:firstLine="490"/>
        <w:jc w:val="both"/>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financial statements and related notes appearing elsewhere in this Quarterly Report on Form 10-Q (Quarterly Report), and our Annual Report on Form 10-K filed with the Securities and Exchange Commission (SEC) on March 4, 2026. Some of the information contained in this discussion and analysis or set forth elsewhere in this Quarterly Report, including information with respect to our plans and strategy for our business, includes forward-looking statements that involve risks and uncertainties. As a result of many factors, including those factors set forth in the “Risk Factors” and “Special Note Regarding Forward-Looking Statements” sections of this Quarterly Report, our actual results could differ materially from the results described in, or implied by, the forward-looking statements contained in the following discussion and analysis.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ind w:left="0" w:right="0" w:firstLine="490"/>
        <w:jc w:val="both"/>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We are a fully integrated clinical-stage biotechnology company focused on developing a robust pipeline of T cell receptor (TCR)-engineered T cell, or TCR-T, therapies for the treatment of patients with cancer. Our lead product candidate, TSC-101, is in development for the treatment of patients with acute myeloid leukemia (AML) and myelodysplastic syndromes (MDS) who are undergoing allogeneic hematopoietic cell transplantation (HCT). The product is designed to treat residual disease post-HCT and thereby prevent relapse. TSC-101 targets HA-2, an antigen that is present on all blood cells, malignant or benign, in patients with the HLA type A*02:01.</w:t>
      </w:r>
    </w:p>
    <w:p>
      <w:pPr>
        <w:pStyle w:val="TextBody"/>
        <w:bidi w:val="0"/>
        <w:jc w:val="both"/>
        <w:rPr/>
      </w:pPr>
      <w:r>
        <w:rPr/>
        <w:t> </w:t>
      </w:r>
    </w:p>
    <w:p>
      <w:pPr>
        <w:pStyle w:val="TextBody"/>
        <w:bidi w:val="0"/>
        <w:jc w:val="both"/>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In June 2026, we provided an update on our hematologic (heme) malignancies clinical program, including initial data from Cohort C of our ongoing Phase 1 ALLOHA trial evaluating TSC-101, generated with our commercial-ready manufacturing process, in patients with heme malignancies undergoing allogeneic HCT. We are currently conducting a Phase 3 registrational trial of TSC-101 (the ALLOHA-2 trial, NCT07702578) that uses a biologically-assigned (genetically randomized) control arm to support relapse-free survival as the primary endpoint. In July 2026, we announced that the first patient has been dosed in the Phase 3 ALLOHA-2 trial.</w:t>
      </w:r>
    </w:p>
    <w:p>
      <w:pPr>
        <w:pStyle w:val="TextBody"/>
        <w:bidi w:val="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We are further expanding our heme malignancies program with the addition of TCRs targeting other HLA types. TSC-102-A01 and TSC-102-A03 are allogeneic, donor-derived TCR-T therapy candidates targeting epitopes derived from CD45. Like TSC-101, these candidates are designed to eliminate residual cancer cells and prevent relapse in patients undergoing HCT. TSC-102-A01 and TSC-102-A03 are designed for patients with HLA types A*01:01 and A*03:01, respectively.</w:t>
      </w:r>
    </w:p>
    <w:p>
      <w:pPr>
        <w:pStyle w:val="TextBody"/>
        <w:bidi w:val="0"/>
        <w:jc w:val="both"/>
        <w:rPr/>
      </w:pPr>
      <w:r>
        <w:rPr/>
        <w:t> </w:t>
      </w:r>
    </w:p>
    <w:p>
      <w:pPr>
        <w:pStyle w:val="TextBody"/>
        <w:bidi w:val="0"/>
        <w:jc w:val="both"/>
        <w:rPr/>
      </w:pPr>
      <w:r>
        <w:rPr/>
        <w:t> </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We are also in early stages of developing methods to engineer TCR-T cells in vivo to treat solid tumors. One of the challenges of treating solid tumors is that they are heterogeneous – not every tumor cell expresses a given target. To address this challenge, we are developing what we refer to as multiplex TCR-T therapy, in which we treat a patient with more than one TCR-T therapy product candidate at a time. We are designing these multiplex therapies to be a simultaneous administration of up to three highly active TCR-Ts that are customized for each patient based on which targets are expressed in their tumors. We believe an in vivo approach represents a promising and cost-efficient way to deliver off-the-shelf, multiplexed TCR-T therapy for solid tumors.</w:t>
      </w:r>
    </w:p>
    <w:p>
      <w:pPr>
        <w:pStyle w:val="TextBody"/>
        <w:bidi w:val="0"/>
        <w:jc w:val="both"/>
        <w:rPr/>
      </w:pPr>
      <w:r>
        <w:rPr/>
        <w:t> </w:t>
      </w:r>
    </w:p>
    <w:p>
      <w:pPr>
        <w:pStyle w:val="TextBody"/>
        <w:bidi w:val="0"/>
        <w:jc w:val="both"/>
        <w:rPr/>
      </w:pPr>
      <w:r>
        <w:rPr/>
        <w:t> </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While primarily focused on oncology, we believe our target discovery platform is well suited to identify targets that cause T cell-driven autoimmune disorders. We have identified a set of indications in which T cells play a key role and are currently identifying targets and developing potential treatment options for these disorders. Initial indications include ankylosing spondylitis, ulcerative colitis and scleroderma. In addition, the Company is continuing to discover targets for Crohn's disease in partnership with Amgen.</w:t>
      </w:r>
    </w:p>
    <w:p>
      <w:pPr>
        <w:pStyle w:val="TextBody"/>
        <w:bidi w:val="0"/>
        <w:jc w:val="both"/>
        <w:rPr/>
      </w:pPr>
      <w:r>
        <w:rPr/>
        <w:t> </w:t>
      </w:r>
    </w:p>
    <w:p>
      <w:pPr>
        <w:pStyle w:val="TextBody"/>
        <w:bidi w:val="0"/>
        <w:jc w:val="both"/>
        <w:rPr/>
      </w:pPr>
      <w:r>
        <w:rPr/>
        <w:t> </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Since our inception in 2018, we have devoted our efforts to raising capital, obtaining financing, filing, prosecuting and maintaining intellectual property rights, organizing and staffing our Company and incurring research and development costs related to the identification of novel targets for TCRs and development of TCR-T therapy product candidates to target and eliminate cancer cells. We do not have any therapies approved for sale and have not generated any revenue from product sales. To date, we have funded our operations primarily with proceeds from sales of capital stock, revenue received under our collaboration agreements, as well as debt facilities.</w:t>
      </w:r>
    </w:p>
    <w:p>
      <w:pPr>
        <w:pStyle w:val="TextBody"/>
        <w:bidi w:val="0"/>
        <w:ind w:left="0" w:right="0" w:firstLine="720"/>
        <w:jc w:val="both"/>
        <w:rPr/>
      </w:pPr>
      <w:r>
        <w:rPr/>
        <w:t> </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We have incurred significant operating losses since our inception. We reported net losses of $59.0 million and $71.1 million for the six months ended June 30, 2026 and 2025, respectively. As of June 30, 2026, we had an accumulated deficit of $563.9 million. We expect to continue to incur significant expenses and increasing operating losses for the foreseeable future. We expect that our expenses and capital expenditure requirements will increase substantially in connection with our ongoing activities, particularly if and as we: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our research and development efforts to identify and develop product candidates and submit IND applications for such product candidates;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conduct preclinical studies and commence clinical trials for our current and future product candidates based on our proprietary platform;</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 processes suitable for manufacturing and clinical development;</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to develop and expand our manufacturing capabilities;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conduct clinical trials of our product candidates to evaluate their safety and potential efficacy;</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seek marketing approvals for any product candidates that successfully complete clinical trials;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build commercial infrastructure to support sales and marketing for our product candidates;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expand, maintain and protect our intellectual property portfolio;</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hire additional clinical, regulatory and scientific personnel;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to operate as a public company.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will not generate revenue from sales of our therapies unless and until we successfully complete clinical development and obtain regulatory approval for one or more of our product candidates. If we obtain regulatory approval for any of our product candidates, we expect to incur significant expenses related to developing our commercialization capability to support the sales, marketing and distribution of those therapies. Further, we expect to continue to incur costs associated with operating as a public company.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As a result, we will need substantial additional funding to support our continuing operations and pursue our growth strategy. Until such time as we can generate significant revenue from sales of our therapies, if ever, we expect to finance our operations through a combination of equity offerings, debt financings, or other capital sources, including collaborations with other companies, and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Because of the numerous risks and uncertainties associated with TCR-T therapy product candidate development, we are unable to accurately predict the timing or amount of increased expenses or when, or if, we will be able to achieve or maintain profitability. Even if we are able to generate sales of our therapies, we may not become profitable. If we fail to become profitable or are unable to sustain profitability on a continuing basis, then we may be unable to continue our operations at planned levels and be forced to reduce or terminate our operations.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accordance with generally accepted accounting principles, we evaluated whether conditions and events, considered in the aggregate, raise substantial doubt about our ability to continue as a going concern for twelve months after the date these condensed consolidated financial statements are issued. Based on our current operating plan, existing cash and cash equivalents are not expected to be sufficient to fund our obligations for at least twelve months after the issuance date of these condensed consolidated financial statements. As a result, we concluded that substantial doubt exists about our ability to continue as a going concern. See Note 1 to these condensed consolidated financial statements for additional information.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Based on our current operating plan, existing cash and cash equivalents are expected to fund operations into the second quarter of 2027, but are not expected to be sufficient to fund our obligations for at least twelve months after the issuance date of these condensed consolidated financial statements. We have based this estimate on assumptions that may prove to be wrong, and we could exhaust our available capital resources sooner than we expect. For additional information regarding our liquidity, see “Liquidity and Capital Resources” and “Risk Factors—Risks related to our financial position and need for additional capital.”</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Three months ended June 30, 2026 and 2025</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following table summarizes our results of operations for the three months ended June 30, 2026 and 2025 (in thousands):</w:t>
      </w:r>
    </w:p>
    <w:p>
      <w:pPr>
        <w:pStyle w:val="TextBody"/>
        <w:bidi w:val="0"/>
        <w:ind w:left="0" w:right="0" w:firstLine="490"/>
        <w:jc w:val="both"/>
        <w:rPr/>
      </w:pPr>
      <w:r>
        <w:rPr/>
        <w:t> </w:t>
      </w:r>
    </w:p>
    <w:tbl>
      <w:tblPr>
        <w:tblW w:w="7033" w:type="dxa"/>
        <w:jc w:val="left"/>
        <w:tblInd w:w="0" w:type="dxa"/>
        <w:tblLayout w:type="fixed"/>
        <w:tblCellMar>
          <w:top w:w="28" w:type="dxa"/>
          <w:left w:w="28" w:type="dxa"/>
          <w:bottom w:w="28" w:type="dxa"/>
          <w:right w:w="28" w:type="dxa"/>
        </w:tblCellMar>
      </w:tblPr>
      <w:tblGrid>
        <w:gridCol w:w="3011"/>
        <w:gridCol w:w="146"/>
        <w:gridCol w:w="211"/>
        <w:gridCol w:w="736"/>
        <w:gridCol w:w="166"/>
        <w:gridCol w:w="146"/>
        <w:gridCol w:w="211"/>
        <w:gridCol w:w="736"/>
        <w:gridCol w:w="166"/>
        <w:gridCol w:w="146"/>
        <w:gridCol w:w="211"/>
        <w:gridCol w:w="736"/>
        <w:gridCol w:w="411"/>
      </w:tblGrid>
      <w:tr>
        <w:trPr/>
        <w:tc>
          <w:tcPr>
            <w:tcW w:w="3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Collaboration and license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Revenue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Revenue for the second quarter of 2026 was $1.1 million, compared to $3.1 million for the second quarter of 2025. The decrease was primarily due to the timing of research activities performed pursuant to our collaboration agreement with Amgen which commenced in May 2023.</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120"/>
        <w:ind w:left="0" w:right="0" w:firstLine="490"/>
        <w:jc w:val="both"/>
        <w:rPr>
          <w:rFonts w:ascii="Times New Roman" w:hAnsi="Times New Roman"/>
          <w:color w:val="000000"/>
          <w:sz w:val="20"/>
        </w:rPr>
      </w:pPr>
      <w:r>
        <w:rPr>
          <w:rFonts w:ascii="Times New Roman" w:hAnsi="Times New Roman"/>
          <w:color w:val="000000"/>
          <w:sz w:val="20"/>
        </w:rPr>
        <w:t>The following table summarizes our research and development expenses for the three months ended June 30, 2026 and 2025 (in thousands):</w:t>
      </w:r>
    </w:p>
    <w:tbl>
      <w:tblPr>
        <w:tblW w:w="8168" w:type="dxa"/>
        <w:jc w:val="left"/>
        <w:tblInd w:w="0" w:type="dxa"/>
        <w:tblLayout w:type="fixed"/>
        <w:tblCellMar>
          <w:top w:w="28" w:type="dxa"/>
          <w:left w:w="28" w:type="dxa"/>
          <w:bottom w:w="28" w:type="dxa"/>
          <w:right w:w="28" w:type="dxa"/>
        </w:tblCellMar>
      </w:tblPr>
      <w:tblGrid>
        <w:gridCol w:w="4231"/>
        <w:gridCol w:w="146"/>
        <w:gridCol w:w="211"/>
        <w:gridCol w:w="676"/>
        <w:gridCol w:w="146"/>
        <w:gridCol w:w="146"/>
        <w:gridCol w:w="211"/>
        <w:gridCol w:w="676"/>
        <w:gridCol w:w="146"/>
        <w:gridCol w:w="146"/>
        <w:gridCol w:w="211"/>
        <w:gridCol w:w="631"/>
        <w:gridCol w:w="591"/>
      </w:tblGrid>
      <w:tr>
        <w:trPr/>
        <w:tc>
          <w:tcPr>
            <w:tcW w:w="4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Facility-related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supplies, research materials and studies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studies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Research and development expenses decreased $9.2 million, primarily attributable to a $6.8 million decrease in laboratory supplies, research materials and studies due to the timing in the purchase of supplies and consumables and decreased spend on contracted services. There was also a $2.1 million decrease in personnel expenses which was driven by our strategic decision in November 2025 to prioritize the clinical development of our heme program, upon which we paused enrollment in the solid tumor Phase 1 trial and reduced our headcount. Research and development expenses included non-cash stock compensation expense of $1.2 million and $1.7 million for the second quarter of 2026 and 2025, respectively.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120"/>
        <w:ind w:left="0" w:right="0" w:firstLine="490"/>
        <w:jc w:val="both"/>
        <w:rPr>
          <w:rFonts w:ascii="Times New Roman" w:hAnsi="Times New Roman"/>
          <w:color w:val="000000"/>
          <w:sz w:val="20"/>
        </w:rPr>
      </w:pPr>
      <w:r>
        <w:rPr>
          <w:rFonts w:ascii="Times New Roman" w:hAnsi="Times New Roman"/>
          <w:color w:val="000000"/>
          <w:sz w:val="20"/>
        </w:rPr>
        <w:t>The following table summarizes our general and administrative expenses for the three months ended June 30, 2026 and 2025 (in thousands):</w:t>
      </w:r>
    </w:p>
    <w:tbl>
      <w:tblPr>
        <w:tblW w:w="7538" w:type="dxa"/>
        <w:jc w:val="left"/>
        <w:tblInd w:w="0" w:type="dxa"/>
        <w:tblLayout w:type="fixed"/>
        <w:tblCellMar>
          <w:top w:w="28" w:type="dxa"/>
          <w:left w:w="28" w:type="dxa"/>
          <w:bottom w:w="28" w:type="dxa"/>
          <w:right w:w="28" w:type="dxa"/>
        </w:tblCellMar>
      </w:tblPr>
      <w:tblGrid>
        <w:gridCol w:w="3941"/>
        <w:gridCol w:w="146"/>
        <w:gridCol w:w="211"/>
        <w:gridCol w:w="571"/>
        <w:gridCol w:w="146"/>
        <w:gridCol w:w="146"/>
        <w:gridCol w:w="211"/>
        <w:gridCol w:w="571"/>
        <w:gridCol w:w="146"/>
        <w:gridCol w:w="146"/>
        <w:gridCol w:w="211"/>
        <w:gridCol w:w="481"/>
        <w:gridCol w:w="611"/>
      </w:tblGrid>
      <w:tr>
        <w:trPr/>
        <w:tc>
          <w:tcPr>
            <w:tcW w:w="3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and 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Facility-related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General and administrative expenses decreased by $1.0 million, primarily attributable to a $0.7 million decrease in personnel expenses. General and administrative expenses included non-cash stock compensation expense of $1.2 million and $1.6 million for the second quarter of 2026 and 2025, respectively.</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Other (Expense) Income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Other income decreased $1.6 million in the three months ended June 30, 2026 compared to the same period in 2025 primarily due to a decrease in interest income attributable to lower cash balances available for investment.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Six months ended June 30, 2026 and 2025</w:t>
      </w:r>
    </w:p>
    <w:p>
      <w:pPr>
        <w:pStyle w:val="TextBody"/>
        <w:bidi w:val="0"/>
        <w:spacing w:before="120" w:after="120"/>
        <w:ind w:left="0" w:right="0" w:firstLine="490"/>
        <w:jc w:val="both"/>
        <w:rPr>
          <w:rFonts w:ascii="Times New Roman" w:hAnsi="Times New Roman"/>
          <w:color w:val="000000"/>
          <w:sz w:val="20"/>
        </w:rPr>
      </w:pPr>
      <w:r>
        <w:rPr>
          <w:rFonts w:ascii="Times New Roman" w:hAnsi="Times New Roman"/>
          <w:color w:val="000000"/>
          <w:sz w:val="20"/>
        </w:rPr>
        <w:t>The following table summarizes our results of operations for the six months ended June 30, 2026 and 2025 (in thousands):</w:t>
      </w:r>
    </w:p>
    <w:tbl>
      <w:tblPr>
        <w:tblW w:w="7033" w:type="dxa"/>
        <w:jc w:val="left"/>
        <w:tblInd w:w="0" w:type="dxa"/>
        <w:tblLayout w:type="fixed"/>
        <w:tblCellMar>
          <w:top w:w="28" w:type="dxa"/>
          <w:left w:w="28" w:type="dxa"/>
          <w:bottom w:w="28" w:type="dxa"/>
          <w:right w:w="28" w:type="dxa"/>
        </w:tblCellMar>
      </w:tblPr>
      <w:tblGrid>
        <w:gridCol w:w="3011"/>
        <w:gridCol w:w="146"/>
        <w:gridCol w:w="211"/>
        <w:gridCol w:w="736"/>
        <w:gridCol w:w="166"/>
        <w:gridCol w:w="146"/>
        <w:gridCol w:w="211"/>
        <w:gridCol w:w="736"/>
        <w:gridCol w:w="166"/>
        <w:gridCol w:w="146"/>
        <w:gridCol w:w="211"/>
        <w:gridCol w:w="736"/>
        <w:gridCol w:w="411"/>
      </w:tblGrid>
      <w:tr>
        <w:trPr/>
        <w:tc>
          <w:tcPr>
            <w:tcW w:w="3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Collaboration and license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Revenue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Revenue for the six months ended June 30, 2026 and 2025 was $2.0 million and $5.2 million, respectively. The decrease was primarily due to the timing of research activities performed pursuant to our collaboration agreement with Amgen which commenced in May 2023.</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120"/>
        <w:ind w:left="0" w:right="0" w:firstLine="490"/>
        <w:jc w:val="both"/>
        <w:rPr>
          <w:rFonts w:ascii="Times New Roman" w:hAnsi="Times New Roman"/>
          <w:color w:val="000000"/>
          <w:sz w:val="20"/>
        </w:rPr>
      </w:pPr>
      <w:r>
        <w:rPr>
          <w:rFonts w:ascii="Times New Roman" w:hAnsi="Times New Roman"/>
          <w:color w:val="000000"/>
          <w:sz w:val="20"/>
        </w:rPr>
        <w:t>The following table summarizes our research and development expenses for the six months ended June 30, 2026 and 2025 (in thousands):</w:t>
      </w:r>
    </w:p>
    <w:tbl>
      <w:tblPr>
        <w:tblW w:w="8273" w:type="dxa"/>
        <w:jc w:val="left"/>
        <w:tblInd w:w="0" w:type="dxa"/>
        <w:tblLayout w:type="fixed"/>
        <w:tblCellMar>
          <w:top w:w="28" w:type="dxa"/>
          <w:left w:w="28" w:type="dxa"/>
          <w:bottom w:w="28" w:type="dxa"/>
          <w:right w:w="28" w:type="dxa"/>
        </w:tblCellMar>
      </w:tblPr>
      <w:tblGrid>
        <w:gridCol w:w="4231"/>
        <w:gridCol w:w="146"/>
        <w:gridCol w:w="211"/>
        <w:gridCol w:w="676"/>
        <w:gridCol w:w="146"/>
        <w:gridCol w:w="146"/>
        <w:gridCol w:w="211"/>
        <w:gridCol w:w="676"/>
        <w:gridCol w:w="146"/>
        <w:gridCol w:w="146"/>
        <w:gridCol w:w="211"/>
        <w:gridCol w:w="736"/>
        <w:gridCol w:w="591"/>
      </w:tblGrid>
      <w:tr>
        <w:trPr/>
        <w:tc>
          <w:tcPr>
            <w:tcW w:w="4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Facility-related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supplies, research materials and studies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studies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Research and development expenses decreased $17.1 million, primarily attributable to a $12.0 million decrease in laboratory supplies, research materials and studies driven by the timing in the purchase of supplies and consumables and decreased spend on contracted services. There was also a $2.5 million decrease in personnel expenses due to our strategic decision in November 2025 to prioritize the clinical development of our heme program, upon which we paused enrollment in the solid tumor Phase 1 trial and reduced our headcount. Research and development expenses included non-cash stock compensation expense of $2.4 million and $3.4 million for the six months ended June 30, 2026 and 2025, respectively.</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120"/>
        <w:ind w:left="0" w:right="0" w:firstLine="490"/>
        <w:jc w:val="both"/>
        <w:rPr>
          <w:rFonts w:ascii="Times New Roman" w:hAnsi="Times New Roman"/>
          <w:color w:val="000000"/>
          <w:sz w:val="20"/>
        </w:rPr>
      </w:pPr>
      <w:r>
        <w:rPr>
          <w:rFonts w:ascii="Times New Roman" w:hAnsi="Times New Roman"/>
          <w:color w:val="000000"/>
          <w:sz w:val="20"/>
        </w:rPr>
        <w:t>The following table summarizes our general and administrative expenses for the six months ended June 30, 2026 and 2025 (in thousands):</w:t>
      </w:r>
    </w:p>
    <w:tbl>
      <w:tblPr>
        <w:tblW w:w="7898" w:type="dxa"/>
        <w:jc w:val="left"/>
        <w:tblInd w:w="0" w:type="dxa"/>
        <w:tblLayout w:type="fixed"/>
        <w:tblCellMar>
          <w:top w:w="28" w:type="dxa"/>
          <w:left w:w="28" w:type="dxa"/>
          <w:bottom w:w="28" w:type="dxa"/>
          <w:right w:w="28" w:type="dxa"/>
        </w:tblCellMar>
      </w:tblPr>
      <w:tblGrid>
        <w:gridCol w:w="3941"/>
        <w:gridCol w:w="146"/>
        <w:gridCol w:w="211"/>
        <w:gridCol w:w="676"/>
        <w:gridCol w:w="146"/>
        <w:gridCol w:w="146"/>
        <w:gridCol w:w="211"/>
        <w:gridCol w:w="676"/>
        <w:gridCol w:w="146"/>
        <w:gridCol w:w="146"/>
        <w:gridCol w:w="211"/>
        <w:gridCol w:w="631"/>
        <w:gridCol w:w="611"/>
      </w:tblGrid>
      <w:tr>
        <w:trPr/>
        <w:tc>
          <w:tcPr>
            <w:tcW w:w="3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and 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Facility-related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General and administrative expenses decreased by $1.4 million, primarily attributable to a decrease in personnel expense. General and administrative expenses included non-cash stock compensation expense of $2.4 million and $3.3 million for the six months ended June 30, 2026 and 2025, respectively.</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Other (Expense) Income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Other income decreased $3.2 million in the six months ended June 30, 2026 compared to the same period in 2025 primarily due to a decrease in interest income attributable to lower cash balances available for investment.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have not generated any revenue from product sales and have incurred net losses and negative cash flows from our operations. Our primary use of cash is to fund operating expenses, which consist primarily of research and development expenditures, and to a lesser extent, general and administrative expenditures. Under the terms of the Amgen Agreement, we received an upfront payment of $30.0 million in July 2023. In addition, we are eligible to earn success-based milestone payments of over $500 million, based upon the achievement of certain clinical development and commercial milestones, as well as tiered single-digit royalty payments on net sales of products developed from the collaboration, subject to reductions set forth in the Amgen Agreement.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On June 1, 2023, we completed an underwritten public offering of (a) 23,287,134 shares of the Company's Voting Common Stock, inclusive of the underwriters’ 30-day option to purchase 297,660 additional shares of Voting Common Stock, at a price of $2.00 per share, and (b) the Pre-Funded Warrants to purchase up to 47,010,526 shares of the Voting Common Stock with an exercise price of $0.0001 per share. The Pre-Funded Warrants were issued at a purchase price of $1.9999 per warrant, resulting in aggregate net proceeds from the offering of $134.7 million after deducting underwriting discounts, commissions and other offering expenses.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On April 24, 2024, we completed an underwritten public offering resulting in the issuance and sale of (a) 4,958,068 shares of Voting Common Stock, including the partial exercise of the underwriters’ option to purchase 2,485,487 additional shares of Voting Common Stock, at the closing market price on April 16, 2024, of $7.13 per share, and (b) Pre-Funded Warrants to purchase up to 18,577,419 shares of the Voting Common Stock with an exercise price of $0.0001 per share. The Pre-Funded Warrants were issued at a purchase price of $7.1299 per warrant, resulting in aggregate net proceeds of approximately $161.4 million after deducting underwriting discounts, commissions and other estimated offering expenses.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Pursuant to the K2HV Loan Agreement dated September 9, 2022, K2HV extended an initial convertible term loan of $30.0 million to the Company. On November 20, 2024, K2HV converted $15.0 million outstanding principal under the loan in exchange for 3,134,796 shares of our Voting Common Stock. On December 20, 2024, we entered into the SVB Loan Agreement, terminated the K2HV Loan Agreement and repaid all remaining outstanding loan obligations to K2HV. The SVB Loan Agreement provides for term loans up to an aggregate principal amount of $52.5 million, of which $32.5 million was provided on the closing date. The term loans would mature on September 1, 2029, and would be subject to monthly interest only payments until September 30, 2027, provided the Company achieved both a certain financial and a certain clinical milestone by June 30, 2026, upon which the term loans would amortize with monthly installments of principal and interest beginning October 1, 2027 until maturity on September 1, 2029. No additional term loans were drawn and the availability of such additional terms loans expired on June 30, 2026. As of June 30, 2026, the $32.5 million term loan remained outstanding under the SVB Loan Agreement. The Company did not achieve the specified financial milestone by June 30, 2026, and therefore, as provided in the SVB Loan Agreement, the interest-only period for such term loan will end on September 30, 2026, upon which monthly payments of principal and interest will be made thereafter until maturity on September 1, 2028. See “Notes to Condensed Consolidated Financial Statements” and “Item 1A. Risk factors—The terms of our loan agreement place restrictions on our operating and financial flexibility. If we raise additional capital through debt financing, the terms of any new debt could further restrict our operating and financial flexibility” for additional details regarding the SVB Loan Agreement.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On December 27, 2024, we completed a registered direct offering with an existing investor for the issuance of Pre-Funded Warrants to purchase up to 7,500,000 shares of the Company's Voting Common Stock with an exercise price of $0.0001 per warrant. The Pre-Funded Warrants were issued at a purchase price of $4.00 per warrant, resulting in gross proceeds of approximately $30.0 million, before deducting offering expenses of $0.2 million.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As of June 30, 2026, we had cash and cash equivalents of $100.2 million, excluding restricted cash of $5.0 million. Based on our current operating plan, existing cash and cash equivalents are expected to fund operations into the second quarter of 2027, but are not expected to be sufficient to fund our obligations for at least twelve months after the issuance date of these condensed consolidated financial statements. As a result, management has concluded that substantial doubt exists about our ability to continue as a going concern. See Note 1 to these condensed consolidated financial statements for additional information.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expect our expenses to increase substantially in connection with our ongoing activities, particularly as we advance our research programs into preclinical and clinical development. In addition, we expect to continue to incur additional costs associated with operating as a public company. The timing and amount of our operating expenditures will depend largely on:</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identification of additional research programs and product candidates;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scope, progress, results and costs of research and development for our current and future product candidates, including our current and planned clinical trials, and ongoing preclinical development for our current and future product candidates;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timing and outcome of regulatory review of any product candidates we may develop;</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decision to initiate a clinical trial, not to initiate a clinical trial or to terminate a clinical trial;</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decision to develop and expand our manufacturing capabilities;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decision to invest in facilities to enable growth;</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investing in next-generation T cell engineering capabilities;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laws or regulations applicable to any product candidates we may develop, including but not limited to clinical trial requirements for approvals;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and timing of obtaining materials to produce adequate supply for any preclinical or clinical development of any product candidate we may develop;</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future commercialization activities, including manufacturing, marketing, sales and distribution, for any product candidate we may develop for which we obtain marketing approval;</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legal costs involved in prosecuting patent applications and enforcing patent claims and other intellectual property claims;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additions or departures of key scientific or management personnel;</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and maintain collaborations on favorable terms, if at all, as well as the costs and timing of any collaboration, license or other arrangement, including the terms and timing of any milestone payments thereunder;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continuing to operate as a public company.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believe that our existing cash and cash equivalents will enable us to fund our current operating plan into the second quarter of 2027. We have based this estimate on assumptions that may prove to be wrong, and we could utilize our available capital resources sooner than we expect.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Until such time, if ever, as we can generate substantial product revenue, we expect to finance our operations through a combination of equity offerings, debt financings, collaborations, strategic alliances and marketing, distribution or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In the event a convertible debt facility is converted to shares of common stock, such conversion could result in additional and substantial dilution to our existing and future stockholders. If we raise additional funds through additional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 candidates that we would otherwise prefer to develop and market ourselves.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have not yet received regulatory approval for or commercialized any of our product candidates and do not expect to generate revenue from product sales for several years, if at all. We do not expect to generate any product revenue unless and until we (1) complete development of any of our product candidates; (2) obtain applicable regulatory approvals; and (3) successfully commercialize or enter into collaborative agreements for our product candidates. We do not know with certainty when, or if, any of these items will ultimately occur. We expect to incur continuing significant losses for the foreseeable future and our losses to increase as we ramp up our preclinical and clinical development programs. We may encounter unforeseen expenses, difficulties, complications, delays and other currently unknown factors that could adversely affect our business.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While we remain an emerging growth company and a smaller reporting company, we are not required to include an attestation report on internal control over financial reporting issued by our independent registered public accounting firm. However, as we continue to evolve as a business, we will incur increased costs related to legal and financial compliance.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will require additional capital to develop our product candidates and fund our operations into the foreseeable future. We anticipate that we will eventually need to raise substantial additional capital, the requirements for which will depend on many factors, including: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timing, rate of progress and costs of our drug discovery efforts, preclinical development activities, laboratory testing and clinical trials for our product candidates;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and scope of clinical programs we decide to pursue;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timing and outcome of preparing for and undergoing regulatory review of our product candidates;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and costs of development and manufacturing activities;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and timing associated with commercializing our product candidates, if they receive marketing approval;</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amount of revenue, if any, received from commercial sales of our product candidates, should any of our product candidates receive marketing approval;</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achievement of milestones or occurrence of other developments that trigger payments under any collaboration agreements we might have at such time;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we acquire or in-license other product candidates and technologies;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preparing, filing and prosecuting patent applications, maintaining and enforcing our intellectual property rights and defending intellectual property-related claims;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and maintain collaborations on favorable terms, if at all;</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efforts to enhance operational systems and our ability to attract, hire and retain qualified personnel, including personnel to support the development of our product candidates and, ultimately, the sale of our products, following FDA approval;</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implementation of various computerized information systems;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impact of health crises and other external disruptions on our clinical development or operations;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associated with being a public company.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or engage in certain merger, consolidation or asset sale transactions. Any debt financing or additional equity that we raise may contain terms that are not favorable to us or our stockholders.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Adequate funding may not be available to us on acceptable terms or at all. If we are unable to raise capital when needed, it could have a negative impact on our financial condition and our ability to pursue our business strategies. We may need to delay, reduce, or terminate some or all development programs and clinical trials. We may also be required to sell or license our rights to product candidates in certain territories or indications that we would otherwise prefer to develop and commercialize ourselves. If we are required to enter into collaborations and other arrangements to address our liquidity needs, we may have to give up certain rights that limit our ability to develop and commercialize our product candidates or may have other terms that are not favorable to us or our stockholders, which could materially and adversely affect our business and financial prospects. See Part II, Item 1A. “Risk Factors” of this Quarterly Report for additional risks associated with our substantial capital requirements.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following table summarizes our sources and uses of cash for each of the periods presented (in thousands):</w:t>
      </w:r>
    </w:p>
    <w:p>
      <w:pPr>
        <w:pStyle w:val="TextBody"/>
        <w:bidi w:val="0"/>
        <w:jc w:val="left"/>
        <w:rPr/>
      </w:pPr>
      <w:r>
        <w:rPr/>
        <w:t> </w:t>
      </w:r>
    </w:p>
    <w:tbl>
      <w:tblPr>
        <w:tblW w:w="10168" w:type="dxa"/>
        <w:jc w:val="left"/>
        <w:tblInd w:w="0" w:type="dxa"/>
        <w:tblLayout w:type="fixed"/>
        <w:tblCellMar>
          <w:top w:w="28" w:type="dxa"/>
          <w:left w:w="28" w:type="dxa"/>
          <w:bottom w:w="28" w:type="dxa"/>
          <w:right w:w="28" w:type="dxa"/>
        </w:tblCellMar>
      </w:tblPr>
      <w:tblGrid>
        <w:gridCol w:w="5966"/>
        <w:gridCol w:w="146"/>
        <w:gridCol w:w="211"/>
        <w:gridCol w:w="736"/>
        <w:gridCol w:w="166"/>
        <w:gridCol w:w="146"/>
        <w:gridCol w:w="211"/>
        <w:gridCol w:w="736"/>
        <w:gridCol w:w="166"/>
        <w:gridCol w:w="146"/>
        <w:gridCol w:w="211"/>
        <w:gridCol w:w="736"/>
        <w:gridCol w:w="591"/>
      </w:tblGrid>
      <w:tr>
        <w:trPr/>
        <w:tc>
          <w:tcPr>
            <w:tcW w:w="5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6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(decrease)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(42,955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During the six months ended June 30, 2026, net cash used in operating activities of $51.8 million was primarily driven by our net loss of $59.0 million, partially offset by non-cash charges of $6.6 million related to depreciation expense, stock-based compensation, loss on disposal, and non-cash interest expense related to note payable. During the six months ended June 30, 2026, changes in working capital contributed $0.7 million of cash. The change in working capital was primarily driven by revenue recognition related to the Amgen Agreement and changes in accrued expenses related to research and development activities.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During the six months ended June 30, 2025, net cash used in operating activities of $70.9 million was primarily driven by our</w:t>
        <w:br/>
        <w:t>net loss of $71.1 million, partially offset by non-cash charges of $6.2 million related to depreciation expense, accretion of marketable</w:t>
        <w:br/>
        <w:t>securities, stock-based compensation, and non-cash interest expense related to note payable. During the six months ended June 30,</w:t>
        <w:br/>
        <w:t>2025, working capital changes resulted in a use of $6.0 million. The change in working capital was primarily driven by revenue</w:t>
        <w:br/>
        <w:t>recognition related to the Amgen Agreement and changes in accrued expenses related to research and development activities.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During the six months ended June 30, 2026, net cash used in investing activities was $0.5 million, primarily related to the purchases of property and equipment.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During the six months ended June 30, 2025, net cash provided by investing activities was $62.0 million, primarily related to the purchases and maturities of marketable securities, and the purchases of property and equipment.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During the six months ended June 30, 2026, net cash provided by financing activities was $0.1 million, primarily related to proceeds from the issuance of common stock under the employee stock purchase plan.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During the six months ended June 30, 2025, net cash used in financing activities was $0.4 million, consisting of cash paid for</w:t>
        <w:br/>
        <w:t xml:space="preserve">debt issuance and financing costs previously accrued, offset by proceeds from the issuance of common stock under the employee stock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purchase plan.</w:t>
        <w:b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condensed financial statements are prepared in accordance with GAAP. The preparation of financial statements and related disclosures require us to make estimates and judgments that affect the reported amounts of assets, liabilities, revenues, costs and expenses. We base our estimates on historical experience, known trends and events and on various other factors that we believe to be reasonable under the circumstances. We evaluate our estimates and assumptions on an ongoing basis. Our actual results may differ from these estimates under different assumptions or conditions.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There have been no material changes to our critical accounting policies and estimates from those disclosed in our financial statements and the related notes and other financial information included in our Annual Report on Form 10-K filed with the SEC on March 4, 2026.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Emerging Growth Company and Smaller Reporting Company Status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Jumpstart Our Business Startups Act of 2012 (JOBS Act) permits an “emerging growth company” to take advantage of an extended transition period to comply with new or revised accounting standards applicable to public companies until those standards would otherwise apply to private companies. The Company qualifies as an “emerging growth company” under the JOBS Act and has elected to “opt in” to the extended transition related to complying with new or revised accounting standards,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We may choose to early adopt any new or revised accounting standards whenever such early adoption is permitted for private companies.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are also a “smaller reporting company” meaning that the market value of our stock held by non-affiliates plus the aggregate amount of gross proceeds to us as a result of the IPO is less than $700 million and our annual revenue was less than $100 million during the most recently completed fiscal year. We may continue to be a smaller reporting company if either (i) the market value of our common stock held by non-affiliates is less than $250 million, or (ii) our annual revenue was less than $100 million during the most recently completed fiscal year and the market value of our common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pStyle w:val="TextBody"/>
        <w:bidi w:val="0"/>
        <w:spacing w:before="360" w:after="283"/>
        <w:jc w:val="left"/>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are a "smaller reporting company", as defined in Item 10(f)(1) of Regulation S-K, and are not required to provide the information required under this item.</w:t>
      </w:r>
    </w:p>
    <w:p>
      <w:pPr>
        <w:pStyle w:val="TextBody"/>
        <w:bidi w:val="0"/>
        <w:spacing w:before="360" w:after="283"/>
        <w:jc w:val="left"/>
        <w:rPr>
          <w:rFonts w:ascii="Times New Roman" w:hAnsi="Times New Roman"/>
          <w:sz w:val="20"/>
        </w:rPr>
      </w:pPr>
      <w:bookmarkStart w:id="11" w:name="item_4_controls_procedures"/>
      <w:bookmarkEnd w:id="11"/>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management, under the supervision and with the participation of our Principal Executive Officer (our Chief Executive Officer) and Principal Financial and Accounting Officer (our Chief Financial Officer), has evaluated the effectiveness of our disclosure controls and procedures as of June 30, 2026.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disclosure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2026, our Principal Executive Officer and Principal Financial and Accounting Officer have concluded that, as of such date, our disclosure controls and procedures were effective at the reasonable assurance level.</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No change in our internal control over financial reporting (as defined in Rules 13a-15(f) and 15d-15(f) under the Exchange Act) occurred during the period ended June 30, 2026 that has materially affected, or is reasonably likely to materially affect, our internal control over financial reporting.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bookmarkStart w:id="12" w:name="part_iior_information"/>
      <w:bookmarkEnd w:id="12"/>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360" w:after="283"/>
        <w:jc w:val="left"/>
        <w:rPr>
          <w:rFonts w:ascii="Times New Roman" w:hAnsi="Times New Roman"/>
          <w:sz w:val="20"/>
        </w:rPr>
      </w:pPr>
      <w:bookmarkStart w:id="13" w:name="item_1_legal_proceedings"/>
      <w:bookmarkEnd w:id="13"/>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4" w:name="risks"/>
      <w:bookmarkEnd w:id="14"/>
      <w:r>
        <w:rPr>
          <w:rFonts w:ascii="Times New Roman" w:hAnsi="Times New Roman"/>
          <w:b/>
          <w:color w:val="000000"/>
          <w:sz w:val="20"/>
        </w:rPr>
        <w:t>Item 1A. Risk Factors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Investing in our common stock involves a high degree of risk. You should consider carefully the risks and uncertainties described below, together with all of the other information in this Quarterly Report on Form 10-Q, and in other documents that we file with the SEC. The risks and uncertainties described below are not the only ones we face. Additional risks and uncertainties that we are unaware of or that we deem immaterial may also become important factors that adversely affect our business. If any of the following risks actually occur, our business, financial condition, liquidity, operating results, and prospects could be materially and adversely affected.</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The risk factors denoted with a “*”, if any, are newly added or have been materially updated from our Annual Report on Form 10-K filed with the SEC on March 4, 2026.</w:t>
      </w:r>
    </w:p>
    <w:p>
      <w:pPr>
        <w:pStyle w:val="TextBody"/>
        <w:bidi w:val="0"/>
        <w:spacing w:before="440" w:after="283"/>
        <w:jc w:val="center"/>
        <w:rPr>
          <w:rFonts w:ascii="Times New Roman" w:hAnsi="Times New Roman"/>
          <w:b/>
          <w:color w:val="000000"/>
          <w:sz w:val="20"/>
        </w:rPr>
      </w:pPr>
      <w:r>
        <w:rPr>
          <w:rFonts w:ascii="Times New Roman" w:hAnsi="Times New Roman"/>
          <w:b/>
          <w:color w:val="000000"/>
          <w:sz w:val="20"/>
        </w:rPr>
        <w:t>RISK FACTORS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Business and Industry</w:t>
      </w:r>
    </w:p>
    <w:p>
      <w:pPr>
        <w:pStyle w:val="TextBody"/>
        <w:bidi w:val="0"/>
        <w:spacing w:before="120" w:after="283"/>
        <w:ind w:left="489" w:right="0" w:hanging="0"/>
        <w:jc w:val="both"/>
        <w:rPr>
          <w:rFonts w:ascii="Times New Roman" w:hAnsi="Times New Roman"/>
          <w:b/>
          <w:i/>
          <w:color w:val="000000"/>
          <w:sz w:val="20"/>
        </w:rPr>
      </w:pPr>
      <w:r>
        <w:rPr>
          <w:rFonts w:ascii="Times New Roman" w:hAnsi="Times New Roman"/>
          <w:b/>
          <w:i/>
          <w:color w:val="000000"/>
          <w:sz w:val="20"/>
        </w:rPr>
        <w:t>We have incurred significant losses since inception, and we expect to incur losses over the next several years and may not be able to achieve or sustain revenues or profitability in the future.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Investment in biotechnology product development is a highly speculative undertaking and entails substantial upfront capital expenditures and significant risk that any potential product candidate will fail to demonstrate adequate efficacy or an acceptable safety profile, gain regulatory approval and become commercially viable. We are still in the early stages of development of our product candidates and have initiated clinical trials for certain of our product candidates. We have no products licensed for commercial sale and have not generated any revenue from product sales to date, and we continue to incur significant research and development and other expenses related to our ongoing operations. We have financed our operations primarily through equity and debt issuances, borrowings under secured loan agreements and upfront payments under our existing or previous collaborations.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have incurred significant net losses in each period since our inception in April 2018. For the three and six months ended June 30, 2026 and the years ended December 31, 2025 and 2024, we reported net losses of $30.4 million, $59.0 million, $129.8 million, and $127.5 million, respectively. As of June 30, 2026, we had an accumulated deficit of $563.9 million. We expect to continue to incur significant losses for the foreseeable future, and we expect these losses to increase substantially if and as we: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our research and development efforts to identify and develop product candidates and submit additional IND applications for such product candidates;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conduct preclinical studies and commence and complete clinical trials for our current and future product candidates based on our proprietary platform;</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 processes suitable for manufacturing and clinical development;</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to develop and expand our manufacturing capabilities;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seek marketing approvals for any of our product candidates that successfully complete clinical trials;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build commercial infrastructure to support sales and marketing for our product candidates;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expand, maintain and protect our intellectual property portfolio;</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hire additional personnel;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to operate as a public company.</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Because of the numerous risks and uncertainties associated with biotechnology product research and development, we are unable to accurately predict the timing or amount of the increased expenses we will incur or when, if ever, we will be able to achieve profitability. Even if we succeed in commercializing one or more of our product candidates, we will continue to incur substantial research and development expenses and other expenditures to develop, seek regulatory approval for,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w:t>
      </w:r>
    </w:p>
    <w:p>
      <w:pPr>
        <w:pStyle w:val="TextBody"/>
        <w:bidi w:val="0"/>
        <w:spacing w:before="360" w:after="283"/>
        <w:ind w:left="0" w:right="0" w:firstLine="490"/>
        <w:jc w:val="both"/>
        <w:rPr>
          <w:rFonts w:ascii="Times New Roman" w:hAnsi="Times New Roman"/>
          <w:b/>
          <w:i/>
          <w:color w:val="000000"/>
          <w:sz w:val="20"/>
        </w:rPr>
      </w:pPr>
      <w:r>
        <w:rPr>
          <w:rFonts w:ascii="Times New Roman" w:hAnsi="Times New Roman"/>
          <w:b/>
          <w:i/>
          <w:color w:val="000000"/>
          <w:sz w:val="20"/>
        </w:rPr>
        <w:t>Our business depends upon the success of our proprietary platform.</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Our success depends on our ability to use our proprietary platform (i) to discover the natural targets of clinically relevant TCRs, (ii) to discover highly active TCRs for known targets, (iii) to genetically engineer patient- or donor-derived T cells safely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reproducibly, (iv) to obtain regulatory approval for product candidates derived from our proprietary platform and related technologies, and (v) to then commercialize our product candidates that address one or more indications. All of our product candidates will require significant additional clinical and non-clinical development, review and approval by the FDA or other regulatory authorities in one or more jurisdictions, substantial investment, access to sufficient commercial manufacturing capacity and significant marketing efforts before they can be successfully commercialized. Some of our product candidates are currently being evaluated in humans and may never become commercialized. Moreover, our current product candidates leverage the same or similar technology and use the same or similar manufacturing processes. As a result, an issue with one product candidate could adversely impact our ability to successfully develop and commercialize other product candidates, particularly ones within the same clinical program.</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addition, the success of our proprietary platform in discovering novel targets for TCR-T therapy product candidates is dependent on us obtaining tumor samples from cancer patients who actively respond to cancer immunotherapies. If our ability to obtain a significant amount of such tumor samples in a timely manner is compromised due to unforeseen circumstances, we may not be successful in discovering novel targets and creating new product candidates based on such targets</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Our limited operating history may make it difficult to evaluate the success of our business to date and to assess our future viability.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are a clinical-stage biotechnology company with a limited operating history. We commenced operations in April 2018, and our operations to date have been limited to organizing and staffing our Company, business planning, raising capital, conducting discovery and research activities, filing patent applications, identifying potential product candidates, undertaking preclinical studies and initiating clinical trials, entering into licenses and collaborations, establishing capabilities to manufacture our product candidates, and establishing arrangements for component materials for such manufacturing. Although we have initiated clinical trials for certain of our product candidates, we have not yet demonstrated our ability to successfully conduct or complete any clinical trials, obtain marketing approvals, manufacture clinical or commercial-scale product or arrange for a third party to do so on our behalf, or conduct sales, marketing and distribution activities necessary for successful product commercialization. Consequently, any predictions about our future success or viability may not be as accurate as they could be if we had a longer operating history.</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addition, as a young business, we may encounter unforeseen expenses, difficulties, complications, delays and other known and unknown factors. We eventually may need to transition at some point from a company with a research and development focus to a company capable of supporting commercial activities. We may not be successful in such a transition.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expect our financial condition and operating results to continue to fluctuate significantly from quarter to quarter and year to year due to a variety of factors, many of which are beyond our control. Accordingly, the results of any quarterly or annual periods should not be relied upon as indications of future operating performance.</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We have never generated any revenue from sales of our TCR-T therapy product candidates and our ability to generate revenue from product sales and become profitable depends significantly on our success in a number of areas.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ability to become profitable depends upon our ability to generate revenue. To date, we have not generated any revenue from sales of any of our product candidates. We do not expect to generate significant revenue unless or until we successfully complete clinical development and obtain regulatory approval of, and then successfully commercialize, at least one of our product candidates. Although we have initiated clinical trials for certain of our product candidates, we have not yet demonstrated an ability to successfully complete clinical trials of our product candidates, obtain marketing approvals, manufacture a commercial-scale medicine, or arrange for a third party to do so on our behalf, or conduct sales and marketing activities necessary for successful commercialization to enable us to generate any revenue from product sales. Our other product candidates are in various stages of preclinical development and, as such, we face significant translational risk as we work to advance these product candidates to the clinical stage. Our ability to generate revenue depends on a number of factors, including, but not limited to:</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develop processes suitable for clinical manufacturing and to obtain related chemistry, manufacturing, and controls (CMC) regulatory approvals;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timely completion of our preclinical studies and clinical trials, which may be significantly slower or cost more than we currently anticipate and will depend substantially upon the performance of third-party contractors;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continue to complete IND-enabling studies and to continue to successfully submit INDs or comparable applications;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we are required by the FDA or similar foreign regulatory authorities to conduct additional clinical trials or other studies beyond those planned to support the approval and commercialization of our product candidates or any future product candidates;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demonstrate to the satisfaction of the FDA and similar foreign regulatory authorities the safety, potency, purity and acceptable risk to benefit profile of our product candidates or any future product candidates;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prevalence, duration and severity of potential side effects or other safety issues, including adverse events, experienced with our product candidates or future product candidates, if any;</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timely receipt of necessary marketing approvals from the FDA and similar foreign regulatory authorities;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willingness of physicians, operators of clinics and patients to utilize or adopt any of our product candidates or future product candidates to treat patients;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and the ability of our third-party contractors to manufacture adequate clinical and commercial supplies of our product candidates or any future product candidates, to remain in good standing with regulatory authorities and to develop, validate and maintain commercially viable manufacturing processes that are compliant with current good manufacturing practice (cGMP);</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successfully develop a commercial strategy and thereafter commercialize our product candidates or any future product candidates in the U.S. and internationally, if licensed for marketing, reimbursement, sale and distribution in such countries and territories, whether alone or in collaboration with others;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patient demand for our product candidates and any future product candidates, if licensed;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obtain, maintain, protect and enforce intellectual property and proprietary rights in and to our product candidates or any future product candidates.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Many of the factors listed above are beyond our control and could cause us to experience significant delays or prevent us from obtaining regulatory approvals or commercializing our product candidates. Even if we are able to commercialize our product candidates, we may not achieve profitability soon after generating product sales, if ever. If we are unable to generate sufficient revenue through the sale of our product candidates or any future product candidates, we may be unable to continue operations without continued funding.</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We will need to obtain substantial additional funding to complete the development and any commercialization of our product candidates, if approved. If we are unable to raise this necessary capital when needed, we could be forced to delay, reduce or eliminate our product development programs, commercialization efforts or other operations.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Since our inception, we have financed our operations through equity issuances, upfront payments under our collaborations and through our debt financings. The development of biotechnology product candidates is capital intensive and we expect our expenses to increase substantially during the next few years. As our product candidates enter and advance through preclinical studies and clinical trials, we will need substantial additional funds to expand our clinical, regulatory, quality and manufacturing capabilities. In addition, if we obtain marketing approval for any of our product candidates, we expect to incur significant commercialization expenses related to marketing, sales, manufacturing and distribution. Furthermore, we expect to continue to incur additional costs associated with operating as a public company.</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As of June 30, 2026, we had $100.2 million in cash and cash equivalents. We believe that our existing cash and cash equivalents will enable us to fund our current operating plan into the second quarter of 2027. Accordingly, our existing cash and cash equivalents will not be sufficient for us to fund any of our product candidates through regulatory approval, and we will need to raise substantial additional capital to complete the development and commercialization of our product candidates through equity offerings, debt financings, marketing and distribution arrangements and other collaborations, strategic alliances and licensing arrangements or other sources. We may also need to raise additional funds sooner if we choose to pursue additional indications for our product candidates or otherwise expand more rapidly than we presently anticipate.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have based these estimates on assumptions that may prove to be incorrect or require adjustment as a result of business decisions, and we could utilize our available capital resources sooner than we currently expect. Our future capital requirements will depend on many factors, including: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rate of progress, costs and results of our drug discovery, preclinical or clinical development activities, laboratory testing and clinical trials for our product candidates;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and scope of clinical programs we decide to pursue;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and costs of manufacturing development and commercial manufacturing activities and our ability to scale them up or out;</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we acquire or in-license other product candidates and technologies;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timing and outcome of regulatory review of our product candidates, including the potential for regulatory authorities to require that we conduct more studies and trials than those that we currently expect to conduct and the costs of post-marketing studies or risk evaluation and mitigation strategies that could be required by regulatory authorities;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changes in the regulatory environment and enforcement rules;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and timing of establishing sales and marketing capabilities, if any of our product candidates receive marketing approval;</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preparing, filing and prosecuting patent applications, maintaining, obtaining, protecting and enforcing our intellectual property and proprietary rights and defending intellectual property-related claims;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new and maintain existing licensing or collaboration arrangements and the progress of the development efforts of third parties with whom we may enter into such arrangements;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any public health crises or other external disruptions on our business, results of operations, development plans (including any supply related matters) and financial position;</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efforts to enhance operational systems and our ability to attract, hire and retain qualified personnel, including personnel to support the development of our product candidates;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changes in pharmaceutical pricing and reimbursement infrastructure;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associated with being a public company;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associated with commercializing our product candidates, if they receive marketing approval.</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Identifying potential product candidates and conducting preclinical studies and clinical trials is a time consuming, expensive and uncertain process that takes years to complete, and we may never generate the necessary data or results required to obtain marketing approval. In addition, our product candidates, if approved, may not achieve product sales or commercial success. We do not expect to have any products commercially available for sale for many years, if at all. Accordingly, we will need to obtain substantial additional funding in connection with our continuing operations. Adequate additional financing may not be available to us on acceptable terms, or at all, and may be impacted by the economic climate and market conditions. If we are unable to raise capital when needed or on attractive terms, we would be forced to delay, limit, reduce or eliminate our research and development programs or future commercialization efforts or grant rights to develop and market product candidates that we would otherwise prefer to develop and market ourselves. In addition, attempting to secure additional financing may divert the time and attention of management from day-to-day activities and distract from our research and development efforts. We may also seek additional capital due to favorable market conditions or strategic considerations, even if we believe we have sufficient funds for our current or future operating plans.</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*We have identified conditions that raise substantial doubt about our ability to continue as a going concern.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Based on our current operating plan, we believe there is substantial doubt about our ability to continue as a going concern for at least twelve months following the filing of this Quarterly Report on Form 10-Q, and we will need to obtain additional funding. We may be forced to delay or reduce the scope of our product development programs, reduce our research and development costs and/or limit or cease our operations if we are unable to obtain additional funding to support our current operating plan. Our cash forecast contains estimates and assumptions based on the success of our ongoing clinical trials, and management cannot predict the amount or timing of all expenditures with certainty. Nevertheless, our financial statements do not include any adjustments that might result from the outcome of this uncertainty. We will need to raise additional capital to fund our future operations and continue as a going concern. However, we cannot guarantee that we will be able to obtain any or sufficient additional funding or that such funding, if available, will be obtainable on terms satisfactory to us.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Raising additional capital may cause dilution to our existing stockholders, restrict our operations or require us to relinquish rights to our intellectual property or product candidates on unfavorable terms to us.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may seek additional capital through a variety of means, including through collaboration arrangements, public or private equity or debt financings, third-party (including government) funding and marketing and distribution arrangements, as well as other strategic alliances and licensing arrangements or any combination of these approaches. However, there can be no assurance that we will be able to raise capital on commercially reasonable terms or at all. To the extent that we raise additional capital through the sale of equity or convertible debt securities, our stockholder ownership interest will be diluted, and the terms may include liquidation preferences or other rights, powers or preferences that may adversely affect rights of our stockholders. To the extent that debt financing is available, and we choose to raise additional capital in the form of debt, such debt financing may involve agreements that include covenants limiting or restricting our ability to take certain actions, such as incurring additional debt, making capital expenditures or declaring dividends. If we raise additional capital pursuant to collaborations, licensing arrangements or other strategic partnerships, such agreements may require us to relinquish rights to our technologies or product candidates.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If we are unable to raise additional funds through equity or debt financings, or through collaborations, licensing arrangements or strategic partnerships or other sources when needed, we may be required to delay, limit, reduce or terminate our product development or commercialization efforts.</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Global economic uncertainty and financial market volatility caused by political instability, changes in international trade relationships and conflicts could make it more difficult for us to access financing and could adversely affect our business and operations.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ability to raise capital is subject to the risk of adverse changes in the market value of our stock. Periods of macroeconomic weakness or recession and heightened market volatility caused by adverse geopolitical developments could increase these risks, potentially resulting in adverse impacts on our ability to raise further capital on favorable terms. The impact of geopolitical tension, such as a deterioration in the bilateral relationship between the U.S. and China or in the ongoing conflicts between Russia and Ukraine, and in the Middle East, including resulting sanctions, export controls or other restrictive actions that may be imposed by the U.S. and/or other countries could also lead to disruption, instability and volatility in global trade patterns, which may in turn impact our ability to source necessary reagents, raw materials and other inputs for our research and development operations.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addition, political developments impacting government spending and international trade, including changes in trade agreements, potential government shutdowns, trade disputes and tariffs, including tariffs that have been or may in the future be imposed by the U.S. or other countries and future legislation or actions taken by the U.S. or other countries that restrict trade, and protectionist or retaliatory measures taken by the U.S. or other countries, may negatively impact markets and cause weaker macroeconomic conditions. For example, in 2025, the U.S. imposed substantial tariffs on imports from its trading partners, including, without limitation, Canada, Mexico, the EU and China. In response to tariffs, other countries have implemented retaliatory tariffs on U.S. goods. While certain tariffs were subsequently suspended, modified, or temporarily reduced, we cannot predict the results of the U.S. government's trade negotiations or the outcome of ongoing legal challenges to specific tariff policies. The impact of tariffs has already been seen, and we expect will continue to be seen, in global markets. In addition, the Trump administration has expressed an intent to impose tariffs on pharmaceutical imports, with the stated policy objective of reshoring pharmaceutical manufacturing to the United States. Among other means, such tariffs may be imposed by the United States under Section 232 of the Trade Expansion Act of 1962, as amended, pursuant to which the U.S. Department of Commerce recently initiated an investigation to determine the effects of importing pharmaceuticals and pharmaceutical ingredients on national security. Historically, tariffs have led to increased trade and political tensions.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of the abovementioned factors could affect our business, prospects, financial condition, and operating results. The extent and duration of any political instability and resulting market disruptions are impossible to predict but could be substantial. Any such disruptions may also have the effect of heightening many of the other risks and uncertainties described elsewhere in this “Risk Factors” section. We are continuing to monitor global capital markets and assessing the potential impact of these factors on our business.</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The U.S. Congress and the Trump administration have made and may make substantial changes to fiscal, tax, and other federal policies that may adversely affect our business.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Since the start of the Trump administration in 2025, there have been significant changes to U.S. trade, healthcare, tax, immigration and government regulatory policy. For example, the U.S. government has imposed substantial tariffs on most countries throughout the world and has further threatened to continue to broadly impose tariffs, which could lead to corresponding punitive actions by the countries with which the U.S. trades. Changes to U.S. policy implemented by the U.S. Congress, the Trump administration or any future administration have impacted and may in the future impact, among other things, the U.S. and global economy, international trade relations, unemployment, immigration, healthcare, taxation, the U.S. regulatory environment, inflation and other areas. Although we cannot predict the impact, if any, of these changes to our business, they could adversely affect our business. Until we know what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Recent volatility in capital markets and lower market prices for many securities may affect our ability to access new capital through sales of shares of our common stock or issuance of indebtedness, which may impact our liquidity, limit our ability to grow our business, pursue acquisitions or improve our operating infrastructure and restrict our ability to compete in our markets.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operations consume substantial amounts of cash, and we intend to continue to make significant investments to support our business growth, respond to business challenges or opportunities, develop new products, retain or expand our current levels of personnel, support our programs, enhance our operating infrastructure, and potentially acquire complementary businesses and technologies. Our future capital requirements may be significantly different from our current estimates and will depend on many factors, including the need to:</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finance unanticipated working capital requirements, including clinical manufacturing capacity;</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support our discovery and preclinical development activities, and clinical trials for our product candidates;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pursue acquisitions or other strategic relationships;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respond to competitive pressures.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Accordingly, we may need to pursue equity or debt financings to meet our capital needs. With uncertainty in the capital markets and other factors, such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we could face significant limitations on our ability to invest in our operations and otherwise suffer harm to our business.</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its financial condition and results of operations.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Although we are not a borrower or party to any financial instruments with any financial institution currently in receivership, if any of our lenders or counterparties to any such instruments were to be placed into receivership, we may be unable to access such funds.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delayed access to deposits or other financial assets or the uninsured loss of deposits or other financial assets;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of access to revolving existing credit facilities or other working capital sources and/or the inability to refund, roll over or extend the maturity of, or enter into new credit facilities or other working capital resources;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or actual breach of contractual obligations that require us to maintain letters or credit or other credit support arrangements;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or actual breach of financial covenants in our credit agreements or credit arrangements;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or actual cross-defaults in other credit agreements, credit arrangements or operating or financing agreements; or</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termination of cash management arrangements and/or delays in accessing or actual loss of funds subject to cash management arrangements.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addition, any further deterioration in the macroeconomic economy or financial services industry could lead to losses or defaults by our suppliers, which in turn, could have a material adverse effect on our current and/or projected business operations and results of operations and financial condition. For example, a supplier may determine that it will no longer deal with us as a customer. In addition, a supplier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 failed financial institution. Any supplier bankruptcy or insolvency, or any breach or default by a supplier, or the loss of any significant supplier relationships, could result in material losses to us and may have material adverse impacts on our business.</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The terms of our loan agreement place restrictions on our operating and financial flexibility. If we raise additional capital through debt financing, the terms of any new debt could further restrict our operating and financial flexibility.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On December 20, 2024 (the SVB Loan Effective Date), we entered into a Loan and Security Agreement (SVB Loan Agreement) with Silicon Valley Bank, a division of First-Citizens Bank &amp; Trust Company (SVB), pursuant to which, SVB will extend up to $52.5 million in a term loan facility, of which $32.5 million was fully funded at the SVB Loan Effective Date. A second tranche of $20.0 million was available to us at SVB’s sole discretion on or prior to June 30, 2026. We did not draw the second tranche prior to June 30, 2026, and the second tranche is no longer available. Our obligations under the SVB Loan Agreement, are secured by a first-priority security interest on substantially all of our assets (other than intellectual property), subject to certain exceptions and will be guaranteed by each of our future direct or indirect subsidiaries, subject to certain exceptions. The SVB Loan Agreement contains customary representations and warranties, events of default and affirmative and negative covenants, including covenants that limit or restrict our and our subsidiaries’ ability to, among other things, dispose of assets, make changes to its business, management, ownership or business locations, merge or consolidate, incur additional indebtedness, grant liens on its assets, pay dividends or other distributions, repurchase equity, make investments, and enter into certain transactions with affiliates, in each case subject to certain thresholds and exceptions. The SVB Loan Agreement does not require us to comply with a financial maintenance covenant. Upon the occurrence of an event of default, a default interest rate of an additional 3% may be applied to the outstanding loan balance at the sole discretion of SVB and SVB may declare all outstanding obligations immediately due and payable and exercise all of its rights and remedies as set forth in the SVB Loan Agreement and under applicable law. Any declaration by SVB of an event of default could significantly harm our business and prospects and could cause the price of our common stock to decline. We may not have enough available cash or be able to raise additional funds through equity or debt financings to repay these outstanding obligations at the time any event of default occurs. Further, if we raise any additional capital through debt financing, the terms of such additional debt could further restrict our operating and financial flexibility.</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We have recently reduced the size of our organization, and we may encounter difficulties in managing this development and our strategic prioritization, which could disrupt our operations. In addition, we may not achieve the anticipated benefits and savings from the workforce reduction.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On November 3, 2025, the Company announced a prioritization strategy and pursuant to this strategy, the Company also implemented a workforce reduction of approximately 30%, or 66 roles. The workforce reduction has resulted in the loss of longer-term employees, the loss of certain institutional knowledge and expertise and the reallocation and combination of certain roles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responsibilities across the organization, all of which could adversely affect our operations. The restructuring and possible additional cost containment measures may yield unintended consequences, such as attrition beyond our intended workforce reduction and reduced employee morale. In addition, we may not achieve anticipated benefits from the workforce reduction. Due to our limited resources, we may not be able to effectively manage our operations or recruit and retain qualified personnel, which may result in weaknesses in our infrastructure and operations, further loss of employees and reduced productivity among remaining employees. If our management is unable to effectively manage this transition and workforce reduction and additional cost containment measures, our expenses may be more than expected and we may not be able to implement our business strategy. As a result, our future financial performance and our ability to commercialize our future product candidates successfully could be negatively affected.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Risks Related to the Development of Our Product Candidates</w:t>
      </w:r>
    </w:p>
    <w:p>
      <w:pPr>
        <w:pStyle w:val="TextBody"/>
        <w:bidi w:val="0"/>
        <w:spacing w:before="120" w:after="283"/>
        <w:ind w:left="490" w:right="0" w:hanging="0"/>
        <w:jc w:val="both"/>
        <w:rPr>
          <w:rFonts w:ascii="Times New Roman" w:hAnsi="Times New Roman"/>
          <w:b/>
          <w:i/>
          <w:color w:val="000000"/>
          <w:sz w:val="20"/>
        </w:rPr>
      </w:pPr>
      <w:r>
        <w:rPr>
          <w:rFonts w:ascii="Times New Roman" w:hAnsi="Times New Roman"/>
          <w:b/>
          <w:i/>
          <w:color w:val="000000"/>
          <w:sz w:val="20"/>
        </w:rPr>
        <w:t>Our approach to the discovery and development of product candidates based on our proprietary platform represents a novel approach to cancer treatment, which creates significant challenges for us.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future success depends on the successful development of our product candidates, which target heme malignancies and solid tumors utilizing TCR-T therapy product candidates. Advancing our product candidates creates significant challenges for us, including: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educating medical personnel about the administration of TCR-T therapy product candidates on a stand-alone basis or in combination with built-in immune and tumor modulators;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educating medical personnel regarding the potential side effect profiles related to our product candidates, such as the potential adverse side effects related to cytokine release syndrome, graft vs host disease (GvHD), neurotoxicity or autoimmune or rheumatologic disorders, which are the most common adverse side effects associated with engineered T cell therapies;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administering chemotherapy to patients in advance of administering our product candidates, which may increase the risk of adverse side effects;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sourcing clinical and, if licensed, commercial, supplies for the materials used to manufacture and process our product candidates;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manufacturing TCR-T therapy product candidates efficiently and consistently without the use of viral vectors using our T-Integrate technology;</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developing a complete shipment lifecycle and supply chain, including efficiently managing the shipment of patient cells from and to clinical sites, minimizing potential contamination to the cell product and effectively scaling manufacturing capacity to meet demand;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developing processes suitable for clinical manufacturing and obtaining related CMC regulatory approvals;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managing costs of inputs and other supplies while scaling production;</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using medicines to manage adverse side effects of our product candidates, which may not adequately control the side effects and/or may have a detrimental impact on the potency of our product candidates;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using medicines to manage adverse side effects of chemotherapy and/or allogeneic stem cell transplantation, used prior to the administration of our product candidates, which may not adequately control the side effects and/or may have a detrimental impact on the potency of our product candidates;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obtaining and maintaining regulatory approval from the FDA or comparable foreign regulatory authority for our product candidates;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establishing sales and marketing capabilities upon obtaining any regulatory approval to gain market acceptance of a novel therapy.</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developing our product candidates, we have not exhaustively explored different options in the design of the TCR construct and in the methods for manufacturing TCR-T therapies. We may find that our existing TCR-T therapy product candidates and manufacturing process may be substantially improved with future design or process changes, necessitating development of new or additional TCR constructs and further clinical testing, which may delay the commercial launch of our product candidates. For example: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made several TCR constructs and used preclinical studies to select product candidates to advance into clinical trials. The preclinical studies are limited in their ability to predict behavior in patients. As we gain experience working with TCR constructs, we may decide to select other TCR constructs for clinical development.</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process by which patient cells are converted into a TCR-T therapy product candidate has many steps that can influence quality and activity.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Our efforts to develop an </w:t>
      </w:r>
      <w:r>
        <w:rPr>
          <w:rFonts w:ascii="Times New Roman" w:hAnsi="Times New Roman"/>
          <w:i/>
          <w:color w:val="000000"/>
          <w:sz w:val="20"/>
        </w:rPr>
        <w:t>in vivo</w:t>
      </w:r>
      <w:r>
        <w:rPr>
          <w:color w:val="000000"/>
        </w:rPr>
        <w:t xml:space="preserve"> </w:t>
      </w:r>
      <w:r>
        <w:rPr>
          <w:rFonts w:ascii="Times New Roman" w:hAnsi="Times New Roman"/>
          <w:color w:val="000000"/>
          <w:sz w:val="20"/>
        </w:rPr>
        <w:t>engineering platform for TCR-T therapies for solid tumors are at a very early stage, and it may take substantial time and investment for us to develop this novel capability, and we may not ultimately be successful in doing so.</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have explored a subset of variables and expect to continue to improve and optimize the manufacturing process. Depending upon the nature of the process changes, we may be compelled to perform bridging studies and/or to re-start clinical development, causing delays in time to market and potentially introducing a risk of failure if new processes do not perform as expected.</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We are early in our development efforts. If we are unable to advance our product candidates through clinical development, obtain regulatory approval and ultimately commercialize our product candidates, or experience significant delays in doing so, our business will be materially harmed.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are early in our development efforts. We have initiated clinical trials for some of our product candidates, and other product candidates are still in preclinical development. Our ability to generate product revenues, which we do not expect will occur for many years, if ever, will depend significantly on the successful development and eventual commercialization of one or more of our product candidates. The success of our product candidates will depend on several factors, including the following: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 development of a process suitable for clinical manufacturing;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 completion of preclinical studies;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 initiation of clinical trials;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 patient enrollment in and completion of clinical trials;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receipt and related terms of marketing approvals and licensures from applicable regulatory authorities;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obtaining and maintaining patent and trade secret protection and regulatory exclusivity for our product candidates;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making arrangements with third-party manufacturers, or expanding our manufacturing capabilities, for both clinical and commercial supplies of our product candidates;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establishing sales, marketing and distribution capabilities and launching commercial sales of our product candidates, if and when approved, whether alone or in collaboration with others;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acceptance of our product candidates, if and when approved, by patients, the medical community and third-party payors;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obtaining and maintaining third-party coverage and adequate reimbursement;</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maintaining a continued acceptable safety profile of our product candidates following licensure;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effectively competing with other therapies including other cancer therapies.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If we do not achieve one or more of these factors in a timely manner or at all, we could experience significant delays or be unable to successfully commercialize our product candidates, which would materially harm our business.</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Although many of our personnel have extensive experience in clinical development and manufacturing at other companies, we have limited direct experience as a company in conducting clinical trials and managing a manufacturing facility for our product candidates.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Although many of our personnel have extensive experience in clinical development and manufacturing at other companies, we have limited experience as a company in conducting clinical trials at TScan. In part because of this lack of experience, we cannot be certain that our ongoing preclinical studies or clinical trials will be completed on time or that the planned preclinical studies and clinical trials will begin or be completed on time, if at all. Large-scale clinical trials would require significant additional financial and management resources and reliance on third-party clinical investigators, contract research organizations (CROs) and consultants. Relying on third-party clinical investigators, CROs and consultants may force us to encounter delays that are outside of our control.</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Although we have expanded our existing cell manufacturing facility, we have limited direct experience as a company in expanding or managing a manufacturing facility. In part because of this lack of experience, we cannot be certain that any further expansion of our existing manufacturing facility will be completed on time, if at all, or if the planned clinical trials will begin or be completed on time, if at all. In part because of our limited experience, we may have unacceptable or inconsistent product quality success rates and yields, and we may be unable to maintain adequate quality control, quality assurance and qualified personnel. In addition, when we switch from manufacturing in our own facility to manufacturing in a different facility (for example, at an external CDMO) for one or more of our product candidates or make changes to our manufacturing process, we may need to conduct additional preclinical studies to bridge our modified product candidates to earlier versions. Failure to successfully further expand our existing manufacturing capabilities could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adversely affect our process and clinical development timelines, regulatory approvals, and the commercial viability of our product candidates.</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Our business is highly dependent on our current product candidates, and we must complete IND-enabling studies and clinical testing before we can seek regulatory approval and begin commercialization of any of our product candidates.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There is no guarantee that any of our product candidates will proceed through preclinical or clinical development or achieve regulatory approval. The process for obtaining marketing approval for any product candidate is very long and risky and there will be significant challenges for us to address in order to obtain marketing approval as planned, if at all.</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There is no guarantee that the results obtained in current and planned preclinical studies or clinical trials of our current or future product candidates will be sufficient to obtain regulatory approval or marketing authorization for such product candidates. Negative results in the development of our lead product candidates may also impact our ability to obtain regulatory approval for our other product candidates, either at all or within anticipated timeframes because, although other product candidates may target different indications, the underlying proprietary platform, manufacturing process and development process is the same for all of our product candidates. Accordingly, a failure in any one of our programs may affect the ability to obtain regulatory approval to continue or conduct clinical programs for other product candidates.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addition, because we have limited financial and personnel resources and are placing significant focus on the development of our lead product candidates, we may forgo or delay pursuit of opportunities with other future product candidates that later prove to have greater commercial potential. Our resource allocation decisions may cause us to fail to capitalize on viable commercial products or profitable market opportunities. Our spending on current and future research and development programs and other future product candidates for specific indications may not yield any commercially viable future product candidates. If we do not accurately evaluate the commercial potential or target market for a particular current or future product candidate, we may relinquish valuable rights to those product candidates through collaborations, licensing or other royalty arrangements in cases in which it would have been more advantageous for us to retain sole development and commercialization rights to such product candidates.</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Our preclinical studies and clinical trials may fail to demonstrate adequately the safety, potency and purity of any of our product candidates, which would prevent or delay development, regulatory approval and commercialization.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Before obtaining regulatory approvals for the commercial sale of our product candidates, we must demonstrate through lengthy, complex and expensive preclinical studies and clinical trials that our product candidates are both safe and effective for use in each target indication. Preclinical and clinical testing is expensive and can take many years to complete, and its outcome is inherently uncertain. Failure can occur at any time during the preclinical study and clinical trial processes, and, because our product candidates are in an early stage of development, there is a high risk of failure, and we may never succeed in developing marketable products.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results of preclinical studies and early clinical trials of our product candidates may not be predictive of the results of later-stage clinical trials. There is typically an extremely high rate of attrition from the failure of product candidates proceeding through preclinical studies and clinical trials. Product candidates in later stages of clinical trials may fail to show the desired safety, potency and purity profile despite having progressed through preclinical studies and initial clinical trials. A number of companies in the biotechnology industry have suffered significant setbacks in advanced clinical trials due to lack of potency or efficacy, insufficient durability of potency or efficacy or unacceptable safety issues, notwithstanding promising results in earlier trials. Most product candidates that commence preclinical studies and clinical trials are never approved as products.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Any preclinical studies or clinical trials that we may conduct may not demonstrate the safety, potency and purity necessary to obtain regulatory approval to market our product candidates. If the results of our ongoing or future preclinical studies and clinical trials are inconclusive with respect to the safety, potency and purity of our product candidates, if we do not meet the clinical endpoints with statistical and clinically meaningful significance, or if there are safety concerns associated with our product candidates, we may be prevented or delayed in obtaining marketing approval for such product candidates. In some instances, there can be significant variability in safety, potency or purity results between different preclinical studies and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w:t>
      </w:r>
    </w:p>
    <w:p>
      <w:pPr>
        <w:pStyle w:val="TextBody"/>
        <w:bidi w:val="0"/>
        <w:spacing w:before="360" w:after="283"/>
        <w:ind w:left="490" w:right="0" w:hanging="0"/>
        <w:jc w:val="both"/>
        <w:rPr>
          <w:rFonts w:ascii="Times New Roman" w:hAnsi="Times New Roman"/>
          <w:sz w:val="20"/>
        </w:rPr>
      </w:pPr>
      <w:r>
        <w:rPr>
          <w:rFonts w:ascii="Times New Roman" w:hAnsi="Times New Roman"/>
          <w:b/>
          <w:i/>
          <w:color w:val="000000"/>
          <w:sz w:val="20"/>
        </w:rPr>
        <w:t>Clinical development involves a lengthy and expensive process with an uncertain outcome, and results of earlier studies and trials may not be predictive of future clinical trial results. If our preclinical studies and clinical trials are not sufficient to</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support regulatory approval of any of our product candidates, we may incur additional costs or experience delays in completing, or ultimately be unable to complete, the development of such product candidate.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cannot be certain that our ongoing and future preclinical study and clinical trial results will be sufficient to support regulatory approval of our product candidates. Clinical testing is expensive and can take many years to complete, and its outcome is inherently uncertain. Human clinical trials are expensive and difficult to design and implement, in part because they are subject to rigorous regulatory requirements. Failure or delay can occur at any time during the clinical trial process.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may experience delays in obtaining the FDA’s clearance to initiate clinical trials under future IND applications, completing ongoing preclinical studies of our other product candidates, and initiating or completing our planned preclinical studies and clinical trials. Additionally, we cannot be certain that preclinical studies or clinical trials for our product candidates will begin on time, not require redesign, enroll an adequate number of subjects on time, or be completed on schedule, if at all. Clinical trials can be delayed or terminated for a variety of reasons, including delays or failures related to:</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or comparable foreign regulatory authorities disagreeing as to the design or implementation of our clinical trials;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obtaining regulatory approval to commence a clinical trial;</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reaching agreement on acceptable terms with prospective CROs and clinical trial sites, the terms of which can be subject to extensive negotiation and may vary significantly among different CROs and clinical trial sites;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obtaining institutional review board (IRB) approval at each clinical trial site;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recruiting or retaining an adequate number of suitable patients to participate in a clinical trial;</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having subjects complete a clinical trial or return for post-treatment follow-up;</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trial sites deviating from the approved clinical trial protocol or dropping out of a clinical trial;</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addressing subject safety concerns that arise during the course of a clinical trial;</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adding a sufficient number of clinical trial sites; or</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obtaining sufficient product supply of product candidate for use in preclinical studies or clinical trials from third-party suppliers.</w:t>
      </w:r>
    </w:p>
    <w:p>
      <w:pPr>
        <w:pStyle w:val="TextBody"/>
        <w:bidi w:val="0"/>
        <w:jc w:val="both"/>
        <w:rPr/>
      </w:pPr>
      <w:r>
        <w:rPr/>
        <w:t> </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We may experience numerous adverse or unforeseen events during, or as a result of, preclinical studies and clinical trials that could delay or prevent our ability to receive marketing approval or commercialize our product candidates, including:</w:t>
      </w:r>
    </w:p>
    <w:p>
      <w:pPr>
        <w:pStyle w:val="TextBody"/>
        <w:bidi w:val="0"/>
        <w:ind w:left="0" w:right="0" w:firstLine="720"/>
        <w:jc w:val="both"/>
        <w:rPr/>
      </w:pPr>
      <w:r>
        <w:rPr/>
        <w: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receive feedback from regulatory authorities that requires us to modify the design of our clinical trials;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trials of our product candidates may produce negative or inconclusive results, and we may decide, or regulators may require us, to conduct additional clinical trials or abandon our research efforts for our other product candidates;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patients required for clinical trials of our product candidates may be larger than we anticipate, enrollment in these clinical trials may be slower than we anticipate or participants may drop out of our clinical trials at a higher rate than we anticipate;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third-party contractors may fail to comply with regulatory requirements, fail to maintain adequate quality controls or be unable to provide us with sufficient product supply to conduct and complete preclinical studies or clinical trials of our product candidates in a timely manner, or at all;</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our investigators might have to suspend or terminate clinical trials of our product candidates for various reasons, including non-compliance with regulatory requirements, a finding that our product candidates have undesirable side effects or other unexpected characteristics or a finding that the participants are being exposed to unacceptable health risks;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clinical trials of our product candidates may be greater than we anticipate;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public health crises may hinder our development or commercialization activities;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quality of our product candidates or other materials necessary to conduct preclinical studies or clinical trials of our product candidates may be insufficient or inadequate;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regulators may revise the requirements for approving our product candidates, or such requirements may not be as we anticipate;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current or future collaborators may conduct clinical trials in ways they view as advantageous to them but that are suboptimal for us.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moderately positive or if there are safety concerns, our business and results of operations may be adversely affected and we may incur significant additional costs. Accordingly, our clinical trial costs are likely to be significantly higher than those for more conventional therapeutic technologies or drug product candidates.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could also encounter delays if a clinical trial is suspended or terminated by us, by the IRBs of the institutions in which such clinical trials are being conducted, by the data safety monitoring board for such clinical trial or by the FDA or other regulatory authorities. Such authorities may suspend or terminate a clinical trial due to a number of factors, including failure to conduct the clinical trial in accordance with regulatory requirements or our clinical trial protocols, inspection of the clinical trial operations or trial site by the FDA or other regulatory authorities resulting in the imposition of a clinical hold, unforeseen safety issues or adverse side effects, failure to demonstrate a benefit from the product candidates, changes in governmental regulations or administrative actions or lack of adequate funding to continue the clinical trial.</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If we experience delays in the completion, or termination, of any preclinical study or clinical trial of our product candidates, the commercial prospects of our product candidates may be harmed, and our ability to generate revenues from any of these product candidates will be delayed or not realized at all. In addition, any delays in completing our preclinical studies or clinical trials may increase our costs, slow down our product candidate development and approval process and jeopardize our ability to commence product sales and generate revenues. 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Our business could be adversely affected by the effects of health epidemics in regions where we, our partners or other third parties on which we rely have significant manufacturing facilities, concentrations of potential clinical trial sites or other business operations.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Public health crises such as pandemics, epidemics, or similar outbreaks could adversely impact our business. For example, our materials suppliers could be disrupted by conditions related to epidemics, possibly resulting in disruption to our supply chain. If our suppliers are unable or fail to fulfill their obligations to us for any reason, we may not be able to manufacture our products and satisfy customer demand or our obligations under sales agreements in a timely manner, and our business could be harmed as a result. Even when such public health crises are largely resolved, the lingering effects of such crises may continue to adversely affect our business operations, and the extent of the impact on our development and regulatory efforts and the future value of and market for our common stock will depend on future developments that are highly uncertain and cannot be predicted with confidence at this time.</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We may rely on third parties to manufacture our clinical product supplies, and we may rely on third parties to produce and process our product candidates, if licensed.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have established facilities and engaged third-party contract manufacturers to manufacture our current product candidates. We rely on outside vendors to manufacture supplies for our manufacturing process, and we expect to rely on outside vendors to help us manufacture our product candidates for registration-enabling clinical trials as well as commercial sales. We have not yet manufactured or processed any product candidates on a commercial scale and may not be able to do so. We have optimized the existing manufacturing process to support product commercialization. The process modifications we have introduced will require regulatory approval of our product candidates, which could delay the commercialization of the products. We cannot be sure that such changes in the process will result in therapies that are efficacious and viable for commercial sale. In addition, changes in the manufacturing process may result in the need to conduct additional bridging clinical trials to demonstrate product comparability.</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facilities used by us or any third-party contract manufacturers to manufacture and commercialize our product candidates must be approved by the FDA or other foreign regulatory authorities following inspections that will be conducted after we submit a Biologics License Application (BLA) to the FDA or other foreign regulatory authorities to support commercialization. We may not control the manufacturing process of, and may be completely dependent on, third-party contract manufacturing partners for compliance with cGMPs and any other regulatory requirements of the FDA or other regulatory authorities for the manufacture of our product candidates. We have limited control over the ability of any third-party contract manufacturers we engage to maintain adequate quality control, quality assurance and qualified personnel. Even with oversight, the third party may not be able to meet proper quality standards or its contractual obligations. If the FDA or a comparable foreign regulatory authority does not approve these facilities for the manufacture of our product candidates or if it withdraws any approval in the future, we may need to find alternative manufacturing facilities, which would significantly impact our ability to develop, obtain regulatory approval for or market our product candidates, if licensed.</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and any third-party contract manufacturers we engage to support our clinical trials, may experience manufacturing difficulties due to limited manufacturing experience, resource constraints or as a result of labor disputes, geopolitical and economic tensions with China, including as a result of the escalation of tariffs or other trade restrictions under the Trump administration, or unstable political environments. The pharmaceutical industry in general, and our suppliers or other third parties on which we rely, may depend on China-based suppliers for certain raw materials, products and services, or other activities. If we or our suppliers are unable to depend on these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China-based suppliers or service providers, we may not be able to engage a backup or alternative supplier in a timely manner or at all. This, in turn, could materially and adversely affect our or our suppliers’ ability to manufacture or supply products and product candidates which could materially and adversely affect our business. If we or any third-party contract manufacturers we engage were to encounter any of these difficulties, our ability to manufacture sufficient product supply for our preclinical studies and clinical trials, or to provide products for patients once approved, would be jeopardized.</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Many of the materials and regents we expect to use in our processes are single or sole source, and/or have limited stability and as such supply disruptions could materially impact our ability to develop or manufacture products. In addition, certain cell processing equipment, consumables and tubing used in our current manufacturing process are sourced from a single supplier, or are otherwise available from a limited number of suppliers. Any interruption in the supply by those single source suppliers could impact our ability to continue development of any and all of our product candidates on the anticipated timelines or at all. We may be unable to obtain these materials and products for an indeterminate period of time if any of these third parties were to cease or interrupt production or otherwise fail to supply these materials or products to us for any reason, including due to regulatory requirements or actions (including recalls), adverse financial developments at or affecting the supplier, or labor shortages or disputes. Regional or single-source dependencies may in some cases accentuate these risks.</w:t>
      </w:r>
    </w:p>
    <w:p>
      <w:pPr>
        <w:pStyle w:val="TextBody"/>
        <w:bidi w:val="0"/>
        <w:spacing w:before="360" w:after="283"/>
        <w:ind w:left="489" w:right="0" w:hanging="0"/>
        <w:jc w:val="both"/>
        <w:rPr>
          <w:rFonts w:ascii="Times New Roman" w:hAnsi="Times New Roman"/>
          <w:b/>
          <w:i/>
          <w:color w:val="000000"/>
          <w:sz w:val="20"/>
        </w:rPr>
      </w:pPr>
      <w:r>
        <w:rPr>
          <w:rFonts w:ascii="Times New Roman" w:hAnsi="Times New Roman"/>
          <w:b/>
          <w:i/>
          <w:color w:val="000000"/>
          <w:sz w:val="20"/>
        </w:rPr>
        <w:t>We cannot guarantee that our product candidates will show any functionality in the solid tumor microenvironment.</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 xml:space="preserve">We cannot guarantee that our solid tumor product candidates will show any functionality in the solid tumor microenvironment. The cellular environment in which solid tumor cells thrive is generally hostile to T cells due to factors such as the presence of immunosuppressive cells, humoral factors and limited access to nutrients. Our TCR-T-based product candidates may not be able to access the solid tumor, and even if they do, they may not be able to exert anti-tumor effects in a hostile solid tumor microenvironment. As a result, we have recently decided to focus on developing an </w:t>
      </w:r>
      <w:r>
        <w:rPr>
          <w:rFonts w:ascii="Times New Roman" w:hAnsi="Times New Roman"/>
          <w:i/>
          <w:color w:val="000000"/>
          <w:sz w:val="20"/>
        </w:rPr>
        <w:t>in vivo</w:t>
      </w:r>
      <w:r>
        <w:rPr>
          <w:rFonts w:ascii="Times New Roman" w:hAnsi="Times New Roman"/>
          <w:color w:val="000000"/>
          <w:sz w:val="20"/>
        </w:rPr>
        <w:t xml:space="preserve"> engineering platform for TCR-T product candidates for solid tumors, and our efforts are at a very early stage. Therefore, we do not yet know whether this platform will yield viable product candidates with the potential to demonstrate potency in solid tumors. If we are unable to make our product candidates function in solid tumors, our development plans and business may be significantly harmed.</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Since the number of patients that we plan to dose in our initial clinical trials may be small, the results from such clinical trial, once completed, may be less reliable than results achieved in larger clinical trials, which may hinder our efforts to obtain regulatory approval for our product candidates.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preliminary results of clinical trials with smaller sample sizes can be disproportionately influenced by various biases associated with the conduct of small clinical trials, such as the potential failure of the smaller sample size to accurately depict the features of the broader patient population, which limits the ability to generalize the results across a broader community, thus making the clinical trial results less reliable than clinical trials with a larger number of patients. As a result, there may be less certainty that such product candidates would achieve a statistically significant effect in any future clinical trials. If we conduct any future clinical trials, we may not achieve a statistically significant result or the same level of statistical significance, if any, that we might have anticipated based on the results observed in our initial clinical trials. In addition, patients who are undergoing allogeneic HCT are very sick and may pass away from complications of their standard clinical transplantation and treatments thus making it difficult to ascertain the beneficial effects of the added T cell therapy. Further, toxicities of the T cell therapy may be difficult to distinguish from the toxicity of the transplantation itself.</w:t>
      </w:r>
    </w:p>
    <w:p>
      <w:pPr>
        <w:pStyle w:val="TextBody"/>
        <w:bidi w:val="0"/>
        <w:spacing w:before="360" w:after="283"/>
        <w:ind w:left="490" w:right="0" w:firstLine="45"/>
        <w:jc w:val="both"/>
        <w:rPr>
          <w:rFonts w:ascii="Times New Roman" w:hAnsi="Times New Roman"/>
          <w:b/>
          <w:i/>
          <w:color w:val="000000"/>
          <w:sz w:val="20"/>
        </w:rPr>
      </w:pPr>
      <w:r>
        <w:rPr>
          <w:rFonts w:ascii="Times New Roman" w:hAnsi="Times New Roman"/>
          <w:b/>
          <w:i/>
          <w:color w:val="000000"/>
          <w:sz w:val="20"/>
        </w:rPr>
        <w:t>Allogeneic HCT is a high-risk procedure that may result in complications or adverse events for patients in our clinical trials including those unrelated to the use of our product candidates.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Stem cell transplantation can cure patients across multiple diseases, but its use carries with it risks of toxicity, serious adverse events and death. Because many therapies are used to prepare or treat patients undergoing allogeneic HCT, patients in our clinical trials or patients that use any of our product candidates may be subject to many of the risks that are currently inherent to this procedure. In particular, stem cell transplant involves certain known potential post-procedure complications that may manifest several weeks or months after a transplant and which may be more common in certain patient populations. For example, autoimmune cytopenia is a known and severe frequent complication of the transplant procedure in certain patients, that can result in death. If these or other serious adverse events, undesirable side effects, or unexpected characteristics are identified during the development of any of our product candidates, we may need to limit, delay or abandon our further clinical development of those product candidates, even if such events, effects or characteristics were the result of stem cell transplant or related procedures generally, and not directly or specifically caused or exacerbated by our product candidates. All serious adverse events or unexpected side effects are continually monitored per the clinical trial’s approved protocol. If serious adverse events are determined to be directly or specifically caused or exacerbated by our hematology product candidates, we would follow the clinical trial protocol’s requirements, which call for our data safety monitoring committee to review all available clinical data in making a recommendation regarding the trial’s continuation.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We may not be able to file IND applications or IND amendments to commence additional clinical trials on the timelines we expect, and even if we are able to, the FDA may not permit us to proceed on the timelines we expect, or at all.</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have initiated clinical trials for some of our product candidates and we expect to submit additional IND applications for our current programs. However, we may not be able to file such IND application on the timelines we expect. For example, we may experience manufacturing delays or other delays with IND-enabling studies. Moreover, we cannot be sure that submission of an IND application will result in the FDA allowing clinical trials to begin, or that, once begun, issues will not arise that suspend or terminate clinical trials. Additionally, even if such regulatory authorities agree with the design and implementation of the clinical trials set forth in an IND application, we cannot guarantee that such regulatory authorities will not change their requirements in the future. These considerations also apply to new clinical trials we may submit as amendments to existing IND applications.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addition, we are planning to develop treatments consisting of a combination of TCR-Ts, which we refer to as multiplex TCR-T. Our plan is to assess the safety and preliminary efficacy of multiplex TCR-T early in the clinical development of our product candidates. While our experience with our T-Plex IND shows that the FDA may clear an IND application, which allows us to combine our product candidates with each other in a multiplex TCR-T, we must still provide safety data for each individual product candidate or each variation or combination of a multiplex TCR-T. Any such requirements could result in material delays in the development timelines of our multiplex TCR-T therapy product candidates.</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Our product candidates may cause undesirable side effects or have other properties that could halt their clinical development, prevent their regulatory approval, require expansion of the trial size, limit their commercial potential, or result in other significant negative consequences.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Undesirable side effects caused by our product candidates could cause us or regulatory authorities, including IRBs, to interrupt, delay, or halt clinical trials and could result in a more restrictive label or the delay or denial of regulatory approval by the FDA or other comparable foreign regulatory authorities. Further, clinical trials by their nature utilize a sample of the potential patient population. With a limited number of subjects and limited duration of exposure, rare and severe side effects of our product candidates may only be uncovered with a significantly larger number of patients exposed to the drug. Because of the design of the dose escalation of our planned clinical trials, undesirable side effects could also result in an expansion in the size of our clinical trials, increasing the expected costs and timeline of our clinical trials. Additionally, results of our clinical trials could reveal a high and unacceptable severity and prevalence of side effects or unexpected characteristics, which may stem from our therapies specifically or may be due to an illness from which the clinical trial subject is suffering.</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For example, there could be an increased risk of GvHD with our TCR-T therapy product candidates in the post-HCT setting. GvHD is a common toxicity in patients undergoing allogeneic HCT, the focus of our heme malignancies program. GvHD occurs because donor T cells, which are part of the standard stem cell product, misrecognize antigens in the patient as foreign and attack tissues and organs that express those antigens. GvHD may be worsened by our TCR-T therapy product candidates because they are derived from donor T cells. While the engineered T cells express a new TCR that is specific for the intended target antigen and is not expected to cause GvHD, those T cells may have low levels of endogenous TCR that have the potential to misrecognize patient antigens as foreign and worsen GvHD.</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solid tumor patients, autoimmunity may occur after TCR-T treatment. TCR-T therapies are generated from a patient’s own T cells isolated from their peripheral blood. There is a risk that this process will expand a patient’s own T cells that have autoreactivity, or that may recognize healthy cells, and upon re-infusion may trigger an autoimmune reaction resulting in damage to normal tissues and potentially even death.</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Autoimmune reaction triggered by an interaction between a patient’s naturally occurring antibodies and engineered T cells is a theoretical safety risk of product candidates we develop using our proprietary platform. If a patient’s self-generated antibodies were directed to a target expressed on the surface of cells in normal tissue (autoantibodies), engineered T cells would be directed to attack these same tissues, potentially resulting in off-tumor effects. These autoantibodies may be present whether or not the patient has an active autoimmune disorder. In our clinical testing, we plan to take steps to minimize the likelihood that this occurs. There is no guarantee, however, that we will be able to implement interventions to address the risk of autoimmune reactions if and when they occur.</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addition, immunogenicity, which is the reaction between a patient’s immune system and a foreign protein outside of the autoimmune context, is an additional theoretical safety risk of product candidates we develop using our proprietary platform. Patients’ immune systems may recognize the TCR construct on the TCR-T product as a foreign protein and fight against it, potentially rendering it ineffective, or even provoking an allergic/anaphylactoid response or other adverse side effects. The immunogenic potential of novel therapeutics like TCR-T therapies is difficult to predict. There is no guarantee that we will be able to implement interventions to address the risk of observation of immunogenic reactions if and when they occur.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If unacceptable toxicities arise in the development of our product candidates, we could suspend or terminate our clinical trials or the FDA or comparable foreign regulatory authorities, or local regulatory authorities such as IRBs, could order us to cease clinical trials. Competent national health authorities, such as the FDA, could also deny approval of our product candidates for any or all targeted indications. Treatment-related side effects could also affect patient recruitment or the ability of enrolled patients to complete the clinical trial or result in potential product liability claims. In addition, these side effects may not be appropriately recognized or managed by the treating medical staff, as toxicities resulting from T cell therapy are not normally encountered in the general patient population and by medical personnel. We expect to have to train medical personnel using our product candidates to understand the side effect profile of our product candidates for both our planned clinical trials and upon any commercialization of any product candidates, if licensed. Inadequate training in recognizing or managing the potential side effects of our product candidates could result in patient deaths. Any of these occurrences may significantly harm our reputation as well as business, financial condition and prospects.</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Our product candidates may target healthy cells expressing target antigens leading to potentially fatal adverse effects.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product candidates target specific antigens that are also potentially expressed on healthy cells. Our product candidates may target healthy cells, leading to serious and potentially fatal adverse effects. In our planned clinical trials of our product candidates, we plan to use a dose escalation model to closely monitor the effect of our product candidates on vital organs and other potential side effects. Even though we intend to closely monitor the side effects of our product candidates in both preclinical studies and clinical trials, we cannot guarantee that products will not target and kill healthy cells.</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Our product candidates may have serious and potentially fatal cross-reactivity to other peptides or protein sequences within the body.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product candidates may recognize and bind to a peptide unrelated to the target antigen to which it is designed to bind. If this peptide is expressed within normal tissues, our product candidates may target and kill the normal tissue in a patient, leading to serious and potentially fatal adverse effects. Detection of any cross-reactivity may halt or delay any ongoing clinical trials for any of our TCR-T therapy product candidates and prevent or delay regulatory approval. Unknown cross-reactivity of the TCR-T binding domain to related proteins could also occur. We have also developed a preclinical screening process to identify cross-reactivity of T cell binders. Any cross-reactivity that impacts patient safety could materially impact our ability to advance our product candidates into clinical trials or to proceed to marketing approval and commercialization.</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The vectors used to manufacture our TCR-T therapy product candidates may incorrectly modify the genetic material of a patient’s T cells, potentially triggering the development of a new cancer or other adverse events.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TCR-T therapy product candidates are manufactured by using a vector to insert genetic information encoding the TCR construct into the patient’s T cells. The TCR construct is then integrated into the natural TCR complex and transported to the surface of the patient’s T cells. Because the vector modifies the genetic information of the T cell, there is a risk that modification will occur in the wrong place in the T cell’s genetic code, leading to vector-related insertional oncogenesis, and causing the T cell to become cancerous. If the cancerous T cell is then administered to the patient with the TCR-T therapy product candidates, the cancerous T cell could trigger the development of a new cancer in the patient. We use non-viral transposon/transposase to insert genetic information into T cells. The risk of insertional oncogenesis remains a concern for gene therapy and we cannot guarantee that it will not occur in any of our ongoing or planned preclinical studies or clinical trials. There is also the potential risk of delayed adverse events following exposure to gene therapy products due to persistent biological activity of the genetic material or other components of vectors used to carry the genetic material. The FDA has stated that vectors possess characteristics that may pose high risks of delayed adverse events. Non-viral transposon/transposase systems have limited clinical history, and their safety profile is still to be determined. If any such adverse events occur, further advancement of our preclinical studies or clinical trials could be halted or delayed, which would have a material adverse effect on our business and operations.</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If we encounter difficulties enrolling patients in our clinical trials, our clinical development activities could be delayed or otherwise adversely affected.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may experience difficulties in patient enrollment in our clinical trials for a variety of reasons. The timely completion of clinical trials in accordance with their approved protocols depends on, among other things, our ability to enroll a sufficient number of patients who remain in the clinical trial until its conclusion. The enrollment of patients depends on many factors, including: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patient eligibility criteria defined in the clinical trial protocol, particularly those who meet the requisite genetic criteria;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our heme malignancies program, the ability to find a donor who must be mismatched with the patient either for the HLA type or the antigen type to ensure that the engineered T cell therapy does not recognize donor-derived blood cells;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impact of public health crises on clinical trial initiation and enrollment;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size of the patient population required for analysis of the clinical trial’s primary endpoints;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proximity of patients to clinical trial sites;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design of the clinical trial;</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recruit clinical trial investigators with the appropriate competencies and experience;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and maintain patient consents;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reporting of the preliminary results of any of our clinical trials;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risk that patients enrolled in clinical trials will drop out of the clinical trial or pass away from disease-related complications or complications from their standard clinical therapy before they can experience benefits of the engineered T cell therapy;</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need to obtain sufficient T cells from the patient or allogeneic donor in order for the engineered T cell product to be manufactured;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produce sufficient TCR-T product to meet the dosing requirements of the clinical studies.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clinical trials may instead opt to enroll in a clinical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use conventional therapies, such as chemotherapy and HCT, rather than enroll patients in any future clinical trial. Additionally, because some of our clinical trials are expected to be in patients with relapsed/refractory cancer, the patients are typically in the late stages of their disease and may experience disease progression independent from our product candidates, making them unevaluable for purposes of the clinical trial and requiring additional patient enrollment.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Delays in completing patient enrollment may result in increased costs or may affect the timing or outcome of our ongoing and planned clinical trials, which could prevent completion or commencement of these clinical trials and adversely affect our ability to advance the development of our product candidates.</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Research and development of biotechnology products is inherently risky. We may not be successful in our efforts to use and enhance our target discovery platform and TCR technologies to create a pipeline of product candidates and develop commercially successful products, or we may expend our limited resources on programs that do not yield a successful product candidate and fail to capitalize on product candidates or diseases that may be more profitable or for which there is a greater likelihood of success. If we fail to develop additional product candidates, our commercial opportunity will be limited.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are at an early stage of development and our target discovery platform has not yet led, and may never lead, to approved or commercially successful products. All of our current product candidates are being developed by leveraging the same or similar underlying proprietary platform, manufacturing process and development program. As a result, an issue with one product candidate or failure of any one program to obtain regulatory approval could lead to a failure of our entire pipeline of product candidates.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Even if we are successful in continuing to build our pipeline, obtaining regulatory approvals and commercializing additional product candidates may require substantial additional funding and are prone to the risks of failure inherent in biotechnology product development.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Investment in biotechnology product development involves significant risk that any potential product candidate will fail to demonstrate adequate efficacy or an acceptable safety profile, gain regulatory approval, and become commercially viable. We cannot provide any assurance that we will be able to successfully advance any of these additional product candidates through the development process. Our research programs may initially show promise in identifying potential product candidates, yet fail to yield product candidates for clinical development or commercialization for many reasons, including the following: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research methodology, including our screening technology, may not successfully identify additional product candidates;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pursuit of difficult-to-drug targets may make it challenging to design potential product candidates;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results of clinical trials conducted by others on similar indications or on compounds with similar mechanisms of action could result in our having to conduct additional or cost prohibitive clinical trials, which could delay development and possibly make commercialization prohibitively expensive;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encounter product manufacturing difficulties that limit yield, produce undesirable characteristics, that increase the cost of goods, cause delays, or make the product candidates unmarketable;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product candidates may cause adverse effects in patients or subjects, even after successful initial toxicology studies, which may make the product candidates unmarketable;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product candidates may not demonstrate a meaningful benefit to patients or subjects;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collaboration partners may change their development profiles or plans for potential product candidates or abandon a therapeutic area or the development of a partnered product.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If any of these events occur, we may be forced to abandon our development efforts for a program or programs, which would have a material adverse effect on our business, operating results and prospects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If we are unable to identify suitable compounds for preclinical and clinical development, we will not be able to obtain revenues from the sale of drugs in future periods, which likely would result in significant harm to our business prospects and financial position.</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The market opportunities for our product candidates may be relatively small. In addition, our estimates of the prevalence of our target patient populations may be inaccurate.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Cancer therapies are sometimes characterized as first line, second line, or third line, and the FDA often approves new therapies initially only for a particular line of use. When cancer is detected early enough, first-line therapy is sometimes adequate to cure the cancer or prolong life without a cure. Whenever first-line therapy, usually chemotherapy, antibody drugs, tumor-targeted small molecules, hormone therapy, radiation therapy, surgery, or a combination of these, proves unsuccessful (refractory disease) or the cancer returns after a disease-free interval (relapsed disease), subsequent lines of therapy may be required to manage the disease and/or disease-related side-effects. We expect to initially seek approval for use of our TCR-T therapy product candidates to treat patients with heme malignancies, including acute myeloid leukemia (AML) and myelodysplastic syndromes (MDS) who are undergoing allogeneic HCT. While HCT provides a potentially curable option for patients with intermediate and high-risk disease, disease relapse remains the main cause of treatment failure and constitutes a significant unmet medical need. For our solid tumor product candidates, we expect to initially seek approval in patients with a history of relapsed disease or refractory disease. For those product candidates that prove to be sufficiently safe and beneficial, if any, we would expect to seek approval in earlier lines of therapy, as appropriate, but there is no guarantee that our product candidates would be licensed for an earlier line of therapy, and, prior to any such approvals, we may have to conduct additional clinical trials. Consequently, the potentially addressable patient population for our product candidates may be extremely limited or may not be amenable to treatment with our product candidates.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Our projections of both the number of people who have the cancers we are targeting, as well as the subset of people with these cancers in a position to receive a particular line or type of therapy and who have the potential to benefit from treatment with our product candidates, are based on our beliefs and estimates. These estimates have been derived from a variety of sources, including scientific literature, surveys of clinics, patient foundations or market research, and may prove to be incorrect. Further, new therapies may change the estimated incidence or prevalence of the cancers that we are targeting. Consequently, even if our product candidates are approved, the number of patients that may be eligible for treatment with our product candidates may turn out to be much lower than expected.</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Our product candidates rely on the use of protein binding domains, or binders, to target specific cancers, which we may develop, or which may be developed by third parties. We are limited in our ability to apply our product candidates to a wider range of potential target cancers by our ability to develop, partner for or acquire these binders on commercially reasonable terms.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TCR-T therapies require the use of antigen-specific protein binding domains (binders) which guide the TCR-Ts and bind to the antigens on the surface of a tumor to target specific types of cancers. Our ability to develop and commercialize our product candidates will depend on our ability to develop these binders or partner for such binders on commercially reasonable terms for use in clinical trials as well as the availability of such binders for use in commercialized products, if licensed. We cannot ensure that we will have a steady supply of binders that we can utilize in combination with the TCR construct to develop our product candidates. If we are unable to enter into such collaborations on commercially reasonable terms or fail to realize the benefits of any such collaboration, we may be limited to using antibody fragments that we are able to independently develop which may limit the ability of our product candidates to target and kill cancer cells.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failure to enter into a successful collaboration or to develop our own binders may delay our development timelines, increase our costs and jeopardize our ability to develop future product candidates as a commercially viable drug, which could result in delays in product development and harm our business.</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We currently have no marketing and sales organization and have no experience as a company in marketing products. If we are unable to establish marketing and sales capabilities or to enter into agreements with third parties to market and sell our product candidates, if licensed, we may not be able to generate product revenue.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currently have no sales, marketing or distribution capabilities and have no experience as a company in marketing products.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If we are unable or decide not to establish internal sales, marketing and distribution capabilities, we will pursue collaborative arrangements regarding the sales and marketing of our product candidates, if licensed. However, there can be no assurance that we will be able to establish or maintain such collaborative arrangements, or if we are able to do so, that they will have effective sales forces. Any revenue we receive will depend upon the efforts of such third parties, which may not be successful. We may have little or no control over the marketing and sales efforts of such third parties and our revenue from product sales may be lower than if we had commercialized our product candidates ourselves. We may also face competition in our search for third parties to assist us with the sales and marketing efforts of our product candidates.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There can be no assurance that we will be able to develop in-house sales and distribution capabilities or establish or maintain relationships with third-party collaborators to commercialize any product in the U.S. or overseas.</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Even if we obtain regulatory approval of our product candidates, the products may not gain market acceptance among physicians, patients, hospitals, cancer treatment centers and others in the medical community.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use of engineered T cells as a potential cancer treatment is a recent development and may not become broadly accepted by physicians, patients, hospitals, cancer treatment centers and others in the medical community. Various factors will influence whether our product candidates are accepted in the market, including: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clinical indications for which our product candidates are licensed;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physicians, hospitals, cancer treatment centers and patients considering our product candidates as a safe and effective treatment;</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and perceived advantages of our product candidates over alternative treatments;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demonstrate the advantages of our product candidates over other TCR-T therapies;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prevalence and severity of any side effects;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prevalence and severity of any side effects for other adoptive cell therapies, TCR-T therapies and public perception of other adoptive cell therapies and TCR-T therapies;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labeling or product insert requirements of the FDA or other regulatory authorities;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limitations or warnings contained in the labeling approved by the FDA;</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of market introduction of our product candidates as well as competitive products;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treatment in relation to alternative treatments;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of adequate coverage, reimbursement and pricing by third-party payors and government authorities;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willingness of patients to pay out-of-pocket in the absence of coverage by third-party payors and government authorities;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relative convenience and ease of administration, including as compared to alternative treatments and competitive therapies;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effectiveness of our sales and marketing efforts.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addition, although we are not utilizing embryonic stem cells or replication competent vectors, adverse publicity due to the ethical and social controversies surrounding the therapeutic use of such technologies, and reported side effects from any clinical trials using these technologies or the failure of such clinical trials to demonstrate that these therapies are safe and effective may limit market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acceptance of our product candidates. If our product candidates are licensed but fail to achieve market acceptance among physicians, patients, hospitals, cancer treatment centers or others in the medical community, we will not be able to generate significant revenue.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addition, although our product candidates differ in certain ways from other TCR-T therapy approaches, serious adverse events or deaths in other clinical trials involving engineered TCR, or other T cell products or with our use of licensed TCR-T therapy candidates, even if not ultimately attributable to our product candidates, could negatively impact our business.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Even if our product candidates achieve market acceptance, we may not be able to maintain that market acceptance over time if new products or technologies are introduced that are more favorably received than our product candidates, are more cost effective or render our product candidates obsolete.</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A variety of risks associated with marketing our product candidates internationally could materially adversely affect our business.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plan to seek regulatory approval of our product candidates outside of the U.S. and, accordingly, we expect that we will be subject to additional risks related to operating in foreign countries if we obtain the necessary approvals, including: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differing regulatory requirements in foreign countries;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unexpected changes in tariffs (including tariffs that have been or may in the future be imposed by the U.S. or other countries), trade barriers (including further legislation or actions taken by the U.S. or other countries that restrict trade), price and exchange controls and other regulatory requirements;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economic weakness, including inflation, or political instability in particular foreign economies and markets;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abroad;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taxes, including withholding of payroll taxes;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currency fluctuations, which could result in increased operating expenses and reduced revenue, and other obligations incident to doing business in another country;</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difficulties staffing and managing foreign operations;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workforce uncertainty in countries where labor unrest is more common than in the U.S.;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liability under the Foreign Corrupt Practices Act of 1977 or comparable foreign regulations;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challenges enforcing our contractual and intellectual property rights, especially in those foreign countries that do not respect and protect intellectual property rights to the same extent as the U.S.;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production shortages resulting from any events affecting raw material supply or manufacturing capabilities abroad;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business interruptions resulting from geo-political actions, including war and terrorism.</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These and other risks associated with international operations may materially adversely affect our ability to attain or maintain profitable operations.</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We face significant competition, and our operating results will suffer if we fail to compete effectively.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biotechnology industry is characterized by intense competition and rapid innovation. Our competitors may be able to develop other products or drugs that are able to achieve similar or better results. Our potential competitors include larger biotechnology and pharmaceutical companies with greater resources than us, academic institutions, governmental agencies, public and private research institutions and early stage or smaller companies. Many of our competitors have substantially greater financial, technical and other resources, such as larger research and development staff, experienced marketing and manufacturing organizations and well-established sales forces. Further, our competitors may have more financial resources, greater access to capital and diversified product offerings and revenue sources, which may give our competitors an advantage over us. In addition, many of these competitors are active in seeking patent protection and licensing arrangements in anticipation of collecting royalties for use of technology that they have developed.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 We believe the key competitive factors that will affect the development and commercial success of our product candidates are safety, potency, purity, tolerability, reliability, convenience of use, price and reimbursement.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Specifically, by genetically engineering T cell therapies, we face significant competition in the T cell immunotherapy space from many companies. For additional information regarding our competition, see “Item 1. Business – Competition” in our Annual Report on Form 10-K filed with the SEC on March 4, 2026. Even if we obtain regulatory approval of our product candidates, the availability and price of our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 Moreover, the development and manufacturing costs associated with engineered T cell therapies may make it difficult to compete with alternative products that may be simpler and cheaper to develop and manufacture.</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Our internal computer systems, or those used by our third-party CROs, our clinical sites, or other contractors or consultants, may fail or suffer cybersecurity incidents, data breaches or other unauthorized or improper access, which could result in a material disruption of the development programs of our product candidates.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Despite the implementation of security measures, our internal computer systems and those of our current and future CROs, our clinical sites, and other contractors and consultants are vulnerable, and like companies in our industry, we have experienced a variety of disruptions and data privacy and information security threats and incidents. These cyberattacks may include cybersecurity incidents, data breaches, attacks by hackers and other malicious third parties (including the deployment of computer viruses, malware, ransomware, denial-of-service attacks, social engineering fraud (including phishing attacks), and other events that affect service reliability and threaten the confidentiality, integrity, and availability of information), unauthorized access, natural disasters, fires, terrorism, war, telecommunications or electrical interruptions or failures, employee error or malfeasance or other malicious or inadvertent disruptions, including inadvertent or intentional wrongful actions by insider employees and vendors. For example, the ongoing conflict between Russia and Ukraine has led to an increase in cyberattacks on Ukraine, including its government, companies, institutions and people, as well on the financial and communications infrastructure of other countries, companies and individuals therein. Additionally, the increased usage of computers operated on home networks may make our or our partners’ systems more susceptible to cybersecurity incidents or data breaches. If any such material system failure, cybersecurity incident, or data breach, were to occur and cause interruptions in our operations, it could result in a material disruption of our development programs and our business operations. For example, the loss of data from ongoing or completed or future preclinical studies and clinical trials could result in delays in our regulatory approval efforts and significantly increase our costs to recover or reproduce the data. Likewise, similar events relating to the computer systems of our third party vendors or manufacturers could also have a material adverse effect on our business, financial condition, results of operations and prospects. Bad actors around the world use increasingly sophisticated methods, including the use of artificial intelligence, to engage in illegal activities involving the theft and misuse of personal information, confidential information and intellectual property. In addition, the potential or current use of artificial intelligence models in our internal or third-party systems may create new attack surfaces or methods for adversaries, which could impact us and our vendors. Any of these effects could damage our reputation, result in the loss of valuable property and information, cause us to breach applicable laws and regulations, and adversely impact our business.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Unauthorized disclosure of sensitive or confidential data, including personally identifiable information, whether through a cybersecurity incident, data breach, systems failure, employee negligence, fraud or misappropriation, or otherwise, or unauthorized access to or through our information systems and networks, whether by our employees or third parties, could result in negative publicity, legal liability and damage to our reputation. Unauthorized disclosure of personally identifiable information could also expose us to sanctions for violations of data privacy laws and regulations around the world.</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As we become more dependent on information technologies to conduct our operations, cybersecurity incidents, including deliberate attacks and attempts to gain unauthorized access to computer systems and networks, may increase in frequency and sophistication. These threats pose a risk to the security of our systems and networks and to the confidentiality, availability and integrity of our data, and these risks apply both to us and to third parties on whose systems we rely for the conduct of our business. Because the techniques used to obtain unauthorized access, disable or degrade service or sabotage systems change frequently and often are not recognized until launched against a target, we and our partners or collaborators may be unable to anticipate these techniques or to implement adequate preventative measures. Further, we do not have any control over the operations of the facilities or technology of our cloud and service providers, including any third-party vendors that collect, process and store personal data on our behalf. Our systems, servers and platforms and those of our service providers may be vulnerable to cybersecurity incidents or data breaches, computer viruses or physical or electronic break-ins that our or their security measures may not detect. Individuals able to circumvent such security measures may misappropriate our confidential or proprietary information, disrupt our operations, damage our computers or otherwise impair our reputation and business. We may need to expend significant resources and make significant capital investments to protect against cybersecurity incidents or data breaches or to mitigate the impact of any such cybersecurity incidents or data breaches. There can be no assurance that we or our third-party providers will be successful in preventing cyber-attacks or successfully mitigating their effects. To the extent that any disruption or cybersecurity incident or data breach were to result in a loss of, or damage to, our data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or applications, or inappropriate disclosure of confidential or proprietary information, we could incur liability and the further development and commercialization of our product candidates could be delayed.</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Cybersecurity incidents, loss of data or modification of information, and other disruptions could compromise information related to our business or prevent us from accessing critical information, result in a significant disruption of our activities and expose us to liability, which could adversely affect our business and our reputation.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the ordinary course of our business, we collect and store information, including personal information, intellectual property and proprietary business information that we own or control or have an obligation to protect. For example, we collect and store research and development information, employee data, commercial information, customer information and business and financial information. We and our service providers, including security and infrastructure vendors, manage and maintain our data using a combination of on-site systems and cloud-based data centers. We face a number of risks related to protecting critical information, including inappropriate use or disclosure, unauthorized access or acquisition, or inappropriate modification of, critical information. We also face the risk of being unable to access our critical information or technology systems due to actual or threats of ransomware, unauthorized encryption, or other malicious activity. We face the risk of being unable to adequately monitor, audit and modify our controls over our critical information. These risks extend to third-party service providers and subcontractors we use to assist us in managing our information or otherwise process it on our behalf. The secure processing, storage, maintenance and transmission of our critical information is vital to our operations and business strategy, and we devote significant resources to protecting such information.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Although we take reasonable measures to protect critical information and other data from unauthorized access, acquisition, use or disclosure, our information technology and infrastructure and that of our service providers handling and storing information on our behalf may be vulnerable to a variety of disruptions, including cybersecurity incidents, data breaches, attacks by hackers and other malicious third parties (including the deployment of computer viruses, malware, ransomware, denial-of-service attacks, social engineering (including phishing attacks), and other events that affect service reliability and threaten the confidentiality, integrity, and availability of information), unauthorized access, natural disasters, fires, terrorism, war, telecommunications or electrical interruptions or failures, employee error or malfeasance or other malicious or inadvertent disruptions. In particular, the risk of a cybersecurity incident, data breach or disruption, particularly through cyber-attacks or cyber intrusion, has generally increased as the number, intensity, and sophistication of attempted attacks and intrusions from around the world have increased. We may not be able to anticipate all types of security threats, and we may not be able to implement preventive measures that are effective against all such security threats. Because the techniques used by cyber criminals change frequently, may not be recognized until launched, and can originate from a wide variety of sources, including outside groups such as external service providers, organized crime affiliates or terrorist organizations, we and our service providers and other partners may be unable to anticipate these techniques or implement adequate preventative measures. Further, we do not have any control over the operations of the facilities or technology of third parties that collect, process and store sensitive information on our behalf. Any unauthorized access or acquisition, cybersecurity incident, data breach, or other loss, of information could result in legal claims or proceedings, and liability under federal, state or foreign laws regarding the privacy and protection of information, including personal information, and could disrupt our operations and harm our reputation. In addition, notice of cybersecurity incidents or data breaches may be required to affected individuals, regulators, credit reporting agencies or the media. Any such publication or notice could harm our reputation and our ability to compete. The financial exposure from the events referenced above could either not be insured against or not be fully covered through any insurance that we may maintain, and there can be no assurance that the limitations of liability in any of our contracts would be enforceable or adequate or would otherwise protect us from liabilities or damages as a result of the events referenced above. Any of the foregoing could have a material adverse effect on our business, financial condition, results of operations and prospects.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Manufacturing</w:t>
      </w:r>
    </w:p>
    <w:p>
      <w:pPr>
        <w:pStyle w:val="TextBody"/>
        <w:bidi w:val="0"/>
        <w:spacing w:before="120" w:after="283"/>
        <w:ind w:left="490" w:right="0" w:hanging="0"/>
        <w:jc w:val="both"/>
        <w:rPr>
          <w:rFonts w:ascii="Times New Roman" w:hAnsi="Times New Roman"/>
          <w:b/>
          <w:i/>
          <w:color w:val="000000"/>
          <w:sz w:val="20"/>
        </w:rPr>
      </w:pPr>
      <w:r>
        <w:rPr>
          <w:rFonts w:ascii="Times New Roman" w:hAnsi="Times New Roman"/>
          <w:b/>
          <w:i/>
          <w:color w:val="000000"/>
          <w:sz w:val="20"/>
        </w:rPr>
        <w:t>Manufacturing and administering our product candidates is complex and we may encounter difficulties in production, particularly with respect to process development or scaling up of our manufacturing capabilities. If we encounter such difficulties, our ability to provide supply of our TCR-T therapy product candidates for clinical trials or, if approved, for commercial purposes, could be delayed or stopped.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process of manufacturing and administering our product candidates is complex and highly regulated. The manufacture of our product candidates involves complex processes, including the manufacture of a transposon containing the genetic information for our TCR construct, a transposase used to insert the transposon genetic information into the T cell genome, and manufacturing operations to ensure the safety, integrity, strength, sterility, purity, and quality of the final product. As a result of the complexities entailed in this process, our manufacturing and supply costs may be higher than those of more traditional manufacturing processes and the manufacturing process may be less reliable and more difficult to reproduce. Additionally, the number of facilities that are capable of harvesting cells for the manufacture of our product candidates and other cell therapy products and product candidates is limited. As the number of cell therapy products and product candidates increases, the limited number of facilities capable of harvesting cells could result in delays in the manufacture and administration of our product candidates.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currently rely on our internal manufacturing facility for clinical manufacturing, and any disruption to this facility could impact our ability to advance our clinical trials. We currently rely on third parties for the manufacture of our non-viral vector and other components of our manufacturing process, and we have engaged a global third-party manufacturer to support the manufacture of products for our clinical trials. These third-party manufacturers may incorporate their own proprietary processes into our components. We have limited control and oversight of a third party’s proprietary process, and a third party may elect to modify its process without our consent or knowledge. These modifications could negatively impact our manufacturing, including product loss or failure that requires additional manufacturing runs or a change in manufacturer, both of which could significantly increase the cost of and significantly delay the manufacture of our product candidates. In addition, we are currently reliant on a single manufacturer for our transposon and transposase components, and many of the critical raw materials and reagents used in the process are single or sole source. These third-party providers may not be able to provide adequate resources, capacity to meet our needs, timely delivery of material, or may change internal processes or specifications that adversely affect our process or product candidates.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Our manufacturing process is and will be susceptible to product loss or failure due to logistical issues, manufacturing issues associated with the differences in patients’ white blood cells, interruptions in the manufacturing process or supply chain, contamination, equipment or reagent failure, process design flaws, operator error, power failures, supplier error and variability in patient characteristics. Even minor deviations from normal manufacturing processes could result in reduced production yields, product defects, product rejection, or other supply disruptions. If for any reason we lose a patient’s white blood cells, such material gets contaminated or processing steps fail at any point, the manufacturing process of the TCR-T therapy product candidate will need to be restarted, if possible, and the resulting delay may adversely affect a patient’s outcome. If microbial, viral, or other contaminations are discovered in our product candidates or in the manufacturing facilities in which our product candidates or critical raw materials or reagents are made or administered, such manufacturing facilities may need to be closed for an extended period of time to investigate and remedy the contamination.</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 xml:space="preserve">As our product candidates progress through preclinical studies and clinical trials towards licensure and commercialization, it is expected that various aspects of the manufacturing and administration process will be altered in an effort to optimize processes and results, for example, our efforts to develop an </w:t>
      </w:r>
      <w:r>
        <w:rPr>
          <w:rFonts w:ascii="Times New Roman" w:hAnsi="Times New Roman"/>
          <w:i/>
          <w:color w:val="000000"/>
          <w:sz w:val="20"/>
        </w:rPr>
        <w:t>in vivo</w:t>
      </w:r>
      <w:r>
        <w:rPr>
          <w:rFonts w:ascii="Times New Roman" w:hAnsi="Times New Roman"/>
          <w:color w:val="000000"/>
          <w:sz w:val="20"/>
        </w:rPr>
        <w:t xml:space="preserve"> engineering platform for our solid tumor program. We have already identified some improvements to our manufacturing and administration processes, but these changes may not achieve the intended objectives, and could cause our product candidates to perform inadequately affecting the results of ongoing or future clinical trials. In addition, any changes may require amendments to be made to regulatory applications or necessitate development of new or additional TCR constructs and further clinical testing, which may further delay the timeframes under which modified manufacturing processes can be used for any of our product candidates.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Developing a commercially viable process is a difficult and uncertain task, and there are risks associated with scaling to the level required for advanced clinical trials or commercialization, including, among others, increased costs, potential problems with process scale-out or scale-up, process reproducibility, stability issues, lot consistency, facility suitability or capacity, staffing, and availability of reagents or raw materials. Competitors have had difficulty reliably producing T cell therapies in the commercial setting. If we experience similar challenges manufacturing product candidates to approved specifications, this may limit our product candidates’ utilization and our ability to receive payment for these product candidates once approved. We may ultimately be unable to reduce the expenses associated with our product candidates to levels that will allow us to achieve a profitable return on investment.</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Although many of our personnel have experience in clinical manufacturing at other companies, we have limited experience as a company managing manufacturing for our product candidates, which will be costly, time-consuming, and which may not be successful.</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have limited experience as a company in managing a manufacturing facility or manufacturing suite, and may never be successful in managing our own manufacturing suite, manufacturing facility or manufacturing capability. We will need to hire additional personnel to manage our operations and facilities and develop the necessary infrastructure to continue the research and development, and eventual commercialization, if licensed, of our product candidates. If we fail to recruit the required personnel, manage our growth effectively, have inadequate facility design or construction, or fail to select the correct location, the development and production of our product candidates could be curtailed or delayed. Although we have established a manufacturing facility, our manufacturing capabilities could be affected by cost-overruns, unexpected delays, equipment failures, design or construction flaws, labor shortages, supply disruptions, natural disasters, power failures and numerous other factors that could prevent us from realizing the intended benefits of our manufacturing strategy and have a material adverse effect on our business.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addition, the FDA, the European Medicines Agency (EMA), and other foreign regulatory authorities may require us to submit samples of any lot of any licensed product together with the protocols showing the results of applicable tests at any time. Under some circumstances, the FDA, the EMA or other foreign regulatory authorities may require that we not distribute a lot until the relevant agency authorizes its release. Slight deviations in the manufacturing process, including those affecting quality attributes and stability, may result in unacceptable changes in the product that could result in lot failures or product recalls, or inability to manufacture product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future. Lot failures or product recalls could cause us to delay or forgo product launches or clinical trials, which could be costly to us and otherwise harm our business, financial condition, results of operations and prospects. Problems in our manufacturing process or quality control testing could restrict our ability to meet market demand for our product candidates.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also may encounter problems hiring and retaining the experienced scientific, quality-control and manufacturing personnel needed to operate our manufacturing processes and facility, which could result in delays in production or difficulties in maintaining compliance with applicable regulatory requirements.</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We may have difficulty validating our manufacturing process as we manufacture TCR-T therapy product candidates from an increasingly diverse patient population for our clinical trials.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As we develop our clinical products, we may encounter unforeseen difficulties due to quality, quantity, supply timing, or variability issues with donor starting materials and may not be able to develop a robust process or incur additional costs or delays in developing a robust process due to starting material variation or supply.</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Although we believe our current manufacturing process is scalable for commercialization, we may encounter challenges in validating our process due to the heterogeneity of the product starting material. While we anticipate that during the early phases of our clinical trials we will be able to adapt our process to account for these differences resulting in a more robust process, we cannot guarantee that issues relating to the heterogeneity of the starting material will not impact our ability to manufacture our product candidates for clinical or commercial distribution.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120" w:after="283"/>
        <w:ind w:left="490" w:right="0" w:hanging="0"/>
        <w:jc w:val="both"/>
        <w:rPr>
          <w:rFonts w:ascii="Times New Roman" w:hAnsi="Times New Roman"/>
          <w:b/>
          <w:i/>
          <w:color w:val="000000"/>
          <w:sz w:val="20"/>
        </w:rPr>
      </w:pPr>
      <w:r>
        <w:rPr>
          <w:rFonts w:ascii="Times New Roman" w:hAnsi="Times New Roman"/>
          <w:b/>
          <w:i/>
          <w:color w:val="000000"/>
          <w:sz w:val="20"/>
        </w:rPr>
        <w:t>The regulatory approval process is lengthy and time-consuming, and we may experience significant delays in the clinical development and regulatory approval of our product candidates.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have not previously submitted a BLA to the FDA or similar licensure applications to comparable foreign regulatory authorities. A BLA, or similar licensing application, must include extensive preclinical and clinical data and supporting information to establish the product candidate’s safety, purity, and potency for each desired indication and must also include significant information regarding the manufacturing controls for the product. We expect the novel nature of our product candidates to create further challenges in obtaining regulatory approval. Accordingly, the regulatory approval pathway for our product candidates may be uncertain, complex, expensive and lengthy, and licensure may not be obtained.</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may also experience delays in completing planned clinical trials for a variety of reasons, including delays related to:</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of financial resources to commence and complete the planned trials;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reaching agreement on acceptable terms with prospective CROs and clinical trial sites, the terms of which can be subject to extensive negotiation and may vary significantly among different CROs and clinical trial sites;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obtaining approval at each clinical trial site by an IRB or ethics committee;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recruiting suitable patients to participate in a clinical trial;</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having patients complete a clinical trial or return for post-treatment follow-up;</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trial sites deviating from trial protocol or dropping out of a trial;</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adding new clinical trial sites; or</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manufacturing sufficient quantities of qualified materials under cGMPs, including current Good Tissue Practice (cGTPs), and applying them on a subject-by-subject basis for use in clinical trials.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could also experience delays if physicians encounter unresolved ethical issues associated with enrolling patients in clinical trials of our product candidates in lieu of prescribing existing treatments that have established safety, efficacy, potency and purity profiles. Further, a clinical trial may be suspended or terminated by us, the IRBs for the institutions in which such trials are being conducted, the data monitoring committee for such trial,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Securing regulatory approval also requires the submission of information about the biologic manufacturing process and inspection of manufacturing facilities by the relevant regulatory authority. The FDA or comparable foreign regulatory authorities may fail to approve our manufacturing processes or facilities, whether run by us or our third-party CDMOs. In addition, if we make manufacturing changes to our product candidates in the future, we may need to conduct additional preclinical studies or clinical trials to bridge our modified product candidates to earlier versions.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Many of the factors that cause, or lead to, a delay in the commencement or completion of clinical trials may ultimately lead to the denial of regulatory approval of our product candidates.</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We may be unable to obtain regulatory approval for our product candidates under applicable regulatory requirements. The denial or delay of any such approval would delay commercialization of our product candidates and adversely impact our potential to generate revenue, our business and our results of operations.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research, testing, manufacturing, labeling, licensure, sale, marketing and distribution of biologic products are subject to extensive regulation by the FDA and other regulatory authorities in the U.S. and other countries, and such regulations differ from country to country. We are not permitted to market our product candidates in the U.S. or in any foreign countries until they receive the requisite licensure from the applicable regulatory authorities of such jurisdictions.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FDA or any foreign regulatory authorities can delay, limit or deny licensure of our product candidates for many reasons, including: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inability to demonstrate to the satisfaction of the FDA or the applicable foreign regulatory authority that any of our product candidates are safe, potent and pure;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FDA’s or the applicable foreign regulatory agency’s disagreement with our trial protocol or the interpretation of data from preclinical studies or clinical trials;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inability to demonstrate that the clinical and other benefits of any of our product candidates outweigh any safety or other perceived risks;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FDA’s or the applicable foreign regulatory agency’s requirement for additional preclinical studies or clinical trials;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results of clinical trials may not meet the level of statistical significance required by the FDA or comparable foreign regulatory authorities for licensure;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FDA’s or the applicable foreign regulatory agency’s failure to approve our manufacturing processes or facilities or those of third-party manufacturers upon which we rely;</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for approval policies or regulations of the FDA or the applicable foreign regulatory authorities to significantly change in a manner rendering our clinical data insufficient for licensure;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data collected from clinical trials of our product candidates may not be sufficient to the satisfaction of the FDA or comparable foreign regulatory authorities to support the submission of a BLA or other comparable submission in foreign jurisdictions or to obtain licensure of our product candidates in the U.S. or elsewhere; or</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approval policies or regulations of the FDA or comparable foreign regulatory authorities may significantly change in a manner rendering our clinical data insufficient for approval.</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Any of these factors, some of which are beyond our control, may result in our failing to obtain regulatory approval to market any of our product candidates, which would significantly harm our business, results of operations, and prospects. Of the large number of biological products in development, only a small percentage successfully complete the FDA or other regulatory approval processes and are commercialized. Even if we eventually complete clinical testing and receive licensure from the FDA or applicable foreign regulatory authorities for any of our product candidates, the FDA or the applicable foreign regulatory agency may grant licensure contingent on the performance of costly additional clinical trials which may be required after licensure. The FDA or the applicable foreign regulatory agency also may license our product candidates for a more limited indication or a narrower patient population than we originally requested, and the FDA, or applicable foreign regulatory agency, may not license our product candidates with the labeling that we believe is necessary or desirable for the successful commercialization of such product candidates.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addition, even if the trials are successfully completed, preclinical and clinical data are often susceptible to varying interpretations and analyses, and we cannot guarantee that the FDA or comparable foreign regulatory authorities will interpret the results as we do, and more clinical trials could be required before we submit our product candidates for approval. To the extent that the results of the clinical trials are not satisfactory to the FDA or comparable foreign regulatory authorities for support of a marketing application, approval of our product candidates may be significantly delayed, or we may be required to expend significant additional resources, which may not be available to us, to conduct additional clinical trials in support of potential approval of our product candidates.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Any delay in obtaining, or inability to obtain, applicable regulatory approval would delay or prevent commercialization of our product candidates and would materially adversely impact our business and prospects.</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We may seek orphan drug status for some of our current or future product candidates, but we may be unable to obtain such designations or to maintain the benefits associated with orphan drug status, including market exclusivity, which may cause our revenue, if any, to be reduced.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Under the Orphan Drug Act, the FDA may grant orphan designation to a drug or biologic intended to treat a rare disease or condition, defined as a disease or condition with a patient population of fewer than 200,000 in the U.S., or a patient population greater than 200,000 in the U.S. when there is no reasonable expectation that the cost of developing and making available the drug or biologic in the U.S. will be recovered from sales in the U.S. for that drug or biologic. Orphan drug designation must be requested before submitting a BLA. In the U.S., orphan drug designation entitles a party to financial incentives such as opportunities for grant funding towards clinical trial costs, tax advantages and user-fee waivers. After the FDA grants orphan drug designation, the generic identity of the drug and its potential orphan use are disclosed publicly by the FDA. Orphan drug designation does not convey any advantage in, or shorten the duration of, the regulatory review and approval process.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applications, including a BLA, to market the same biologic for the same approved use or indication for seven years, except in limited circumstances such as a showing of clinical superiority to the product with orphan drug exclusivity or if FDA finds that the holder of the orphan drug exclusivity has not shown that it can assure the availability of sufficient quantities of the orphan drug to meet the needs of patients with the disease or condition for which the drug was designated. As a result, even if one of our product candidates receives orphan exclusivity, the FDA can still approve other drugs that have a different active ingredient for use in treating the same indication or disease. Furthermore, the FDA can waive orphan exclusivity if we are unable to manufacture sufficient supply of our product.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may seek orphan drug designation for some or all of our current or future product candidates in additional orphan indications in which there is a medically plausible basis for the use of these products. Even when we obtain orphan drug designation, exclusive marketing rights in the U.S. may be limited if we seek licensure for an indication broader than the orphan designated indication and may be lost if the FDA later determines that the request for designation was materially defective or if the manufacturer is unable to assure sufficient quantities of the product to meet the needs of patients with the rare disease or condition. In addition, although we intend to seek orphan drug designation for other product candidates, we may never receive such designations.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plan to seek a Breakthrough Therapy designation for our current product candidates and may seek Breakthrough Therapy designation for some or all of our future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Biologics designated as Breakthrough Therapies by the FDA may also be eligible for other expedited approval programs, including Accelerated Approval.</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licensure compared to candidate products considered for licensure under non-expedited FDA review procedures and does not assure ultimate approval by the FDA. In addition, even if one or more of our product candidates qualify as Breakthrough Therapies, the FDA may later decide that the product no longer meets the conditions for qualification. Thus, even though we intend to seek Breakthrough Therapy designation for some or all of our future product candidates for the treatment of various cancers, there can be no assurance that we will receive Breakthrough Therapy designation.</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A Fast Track designation by the FDA, even if granted for any of our current or future product candidates, may not lead to a faster development or regulatory review or approval process, and does not increase the likelihood that our product candidates will receive marketing approval.</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If a drug is intended for the treatment of a serious or life-threatening condition and the drug demonstrates the potential to address unmet medical needs for this condition, the drug sponsor may apply for FDA Fast Track designation for a particular indication. We plan to seek Fast Track designation for our current product candidates and may seek Fast Track designation for certain of our future product candidates, but there is no assurance that the FDA will grant this status to any of our proposed product candidates. Marketing applications filed by sponsors of products in Fast Track development may qualify for priority review under the policies and procedures offered by the FDA, but the Fast Track designation does not assure any such qualification or ultimate marketing approval by the FDA. The FDA has broad discretion whether or not to grant Fast Track designation, so even if we believe a particular product candidate is eligible for this designation, there can be no assurance that the FDA would decide to grant it. Even if we do receive Fast Track designation, we may not experience a faster development process, review or licensure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 In addition, the FDA may withdraw any Fast Track designation at any time.</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We may seek Accelerated Approval from the FDA for any of our current or future product candidates. Accelerated Approval, even if granted, for any of our current or future product candidates, may not lead to a faster development, or regulatory review or approval process, and it does not increase the likelihood that our product candidates will receive marketing approval.</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may seek approval of our current product candidates or future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(IMM) that is reasonably likely to predict an effect on IMM or other clinical benefit. As a condition of approval, the FDA requires that a sponsor of a drug or biologic receiving Accelerated Approval perform adequate and well-controlled post-marketing clinical trials. These confirmatory trials must be completed with due diligence. In addition, the FDA currently requires, unless otherwise informed by the agency, pre-approval of promotional materials for products receiving Accelerated Approval, which could adversely impact the timing of the commercial launch of the product. Even if we do receive Accelerated Approval, we may not experience a faster development, regulatory review or approval process for that product. Approval of a product may be withdrawn if these trials fail to verify clinical benefit or do not demonstrate sufficient clinical benefit to justify the risks associated with the product. In addition, receiving Accelerated Approval does not provide assurance of ultimate FDA approval.</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A Regenerative Medicine Advanced Therapy (RMAT) designation by the FDA, even if granted for any of our product candidates, may not lead to a faster development or regulatory review or approval process, and does not increase the likelihood that our product candidates will receive marketing approval and we may be unable to obtain or maintain the benefits associated with such designation.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have obtained and may continue to seek an RMAT designation for some of our product candidates. In May 2024, we announced that the FDA granted RMAT designation for TSC-100 and TSC-101 for the treatment of patients with AML, ALL, and MDS undergoing HCT with reduced intensity conditioning. An RMAT is defined as cell therapies, therapeutic tissue engineering products, human cell and tissue products, and combination products using any such therapies or products, except for those regulated solely under Section 361 of the Public Health Service Act. The RMAT program is intended to facilitate efficient development and expedite review of RMATs which are intended to treat, modify, reverse, or cure a serious or life-threatening disease or condition and where preliminary clinical evidence indicates the product has the potential to address unmet medical needs for such disease or condition. A BLA for an RMAT may be eligible for priority review if it meets the criteria for priority review, or for accelerated approval based on surrogate or intermediate endpoints reasonably likely to predict long-term clinical benefit or reliance upon data obtained from a meaningful number of sites. Benefits of RMAT designation include all the benefits of the Fast Track and Breakthrough Therapy designation programs, including early interactions with the FDA, which could include interactions with FDA to discuss any potential surrogate or intermediate endpoint to be used to support accelerated approval. An RMAT that is granted accelerated approval and is subject to post-approval requirements may fulfill such requirements through the submission of clinical evidence, clinical studies, patient registries, or other sources of real-world evidence, such as electronic health records; the collection of larger confirmatory data sets; or post-approval monitoring of all patients treated with such therapy prior to its approval.</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RMAT designation is within the discretion of the FDA. Accordingly, even if we believe one of our product candidates meets the criteria for RMAT designation and seek RMAT designation for such product candidate, the FDA may disagree and instead determine not to make such designation. In any event, the receipt of RMAT designation for a product candidate may not result in a faster development, review or approval process compared to product candidates considered for approval under non-expedited FDA procedures and does not assure ultimate approval by the FDA. In addition, even if one or more of our product candidates qualify for RMAT designation, the FDA may later decide that the product candidate no longer meets the conditions for qualification.</w:t>
      </w:r>
    </w:p>
    <w:p>
      <w:pPr>
        <w:pStyle w:val="TextBody"/>
        <w:bidi w:val="0"/>
        <w:spacing w:before="360" w:after="283"/>
        <w:ind w:left="490" w:right="0" w:hanging="0"/>
        <w:jc w:val="both"/>
        <w:rPr>
          <w:rFonts w:ascii="Times New Roman" w:hAnsi="Times New Roman"/>
          <w:sz w:val="20"/>
        </w:rPr>
      </w:pPr>
      <w:r>
        <w:rPr>
          <w:rFonts w:ascii="Times New Roman" w:hAnsi="Times New Roman"/>
          <w:b/>
          <w:i/>
          <w:color w:val="000000"/>
          <w:sz w:val="20"/>
        </w:rPr>
        <w:t>We may seek designation for our target discovery platform as a designated platform technology, but we might not receive such designation, and even if we do, such designation may not lead to a faster regulatory review or approval process</w:t>
      </w:r>
      <w:r>
        <w:rPr>
          <w:rFonts w:ascii="Times New Roman" w:hAnsi="Times New Roman"/>
          <w:i/>
          <w:color w:val="000000"/>
          <w:sz w:val="20"/>
        </w:rPr>
        <w: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may seek designation for our target discovery platform as a designated platform technology. Under the Food and Drug Omnibus Reform Act of 2022 (FDORA), a platform technology incorporated within or utilized by a biological product is eligible for designation as a designated platform technology if (1) the platform technology is incorporated in, or utilized by, a biological product approved under a BLA; (2) preliminary evidence submitted by the sponsor of the licensed biological product, or a sponsor that has been granted a right of reference to data submitted in the application for such biological product, demonstrates that the platform technology has the potential to be incorporated in, or utilized by, more than one biological product without an adverse effect on quality, manufacturing, or safety; and (3) data or information submitted by the applicable person indicates that incorporation or utilization of the platform technology has a reasonable likelihood to bring significant efficiencies to the biological product development or manufacturing process and to the review process. A sponsor may request the FDA to designate a platform technology as a designated platform technology concurrently with, or at any time after, submission of an IND application for a biological product that incorporates or utilizes the platform technology that is the subject of the request. If so designated, the FDA may expedite the development and review of any subsequent original BLA for a biological product that uses or incorporates the platform technology. Even if we believe our target discovery platform technology meets the criteria for such designation, the FDA may disagree and instead determine not to grant such designation. In addition, the receipt of such designation for a platform technology does not ensure that a biological product will be developed more quickly or receive FDA approval. Moreover, the FDA may revoke a designation if the FDA determines that a designated platform technology no longer meets the criteria for such designation.</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Obtaining and maintaining regulatory approval of our product candidates in one jurisdiction does not mean that we will be successful in obtaining regulatory approval of our product candidates in other jurisdictions.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and licensure procedures vary among jurisdictions and can involve requirements and administrative review periods different from, and greater than, those in the U.S., including additional preclinical studies or clinical trials as clinical trials conducted in one jurisdiction may not be accepted by regulatory authorities in other jurisdictions. In many jurisdictions outside the U.S., a product candidate must be approved for reimbursement before it can be approved for sale in that jurisdiction. In some cases, the price that we intend to charge for any of our product candidates for which we receive marketing approval is also subject to approval.</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may also submit marketing applications in other countries. Regulatory authorities in jurisdictions outside of the U.S.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 candidates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Even if we receive regulatory approval of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Any regulatory approvals that we receive for our product candidates will require surveillance to monitor the safety, potency and purity of the product candidate. The FDA may also require a risk evaluation and mitigation strategy in order to license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cGTPs and good clinical practices (GCPs) for any clinical trials that we conduct post-licensure. Manufacturers and manufacturers’ facilities are required to comply with extensive FDA, and comparable foreign regulatory authority requirements, including ensuring that quality control and manufacturing procedures conform to cGMP regulations and applicable product tracking and tracing requirements. Later discovery of previously unknown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problems with our product candidates, including adverse events of unanticipated severity or frequency, or with our manufacturing processes (or those of third parties we engage), or failure to comply with regulatory requirements, may result in, among other things: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restrictions on the marketing or manufacturing of our product candidates, withdrawal of the product from the market or voluntary or mandatory product recalls;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FDORA, sponsors of approved drugs and biologics must provide six months’ notice to the FDA of any changes in marketing status, or for discontinuing or interrupting supply of certain drugs, including the withdrawal of a product, and failure to do so could result in a letter citing such failure to comply as well as the public posting of such letter and redacted company response;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revisions to the labeling, including limitation on approved uses or the addition of additional warnings, contraindications or other safety information, including boxed warnings;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imposition of a REMS, which may include distribution or use restrictions;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requirements to conduct additional post-market clinical trials to assess the safety of the product;</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fines, warning letters, FDA Form 483s, or holds on clinical trials;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refusal by the FDA to approve pending applications or supplements to approved applications filed by us or suspension or revocation of license approvals;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seizure or detention, or refusal to permit the import or export of our product candidates;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U.S. or abroad. In addition, the U.S. Supreme Court's July 2024 decision to overturn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 This decision may result in more lawsuits against the FDA to challenge longstanding decisions and policies of the FDA, which could 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The third-party payer or insurance coverage and reimbursement status of newly-approved products are uncertain. Our product candidates may become subject to unfavorable pricing regulations, third-party coverage and reimbursement practices, or healthcare reform initiatives, which would harm our business. Failure to obtain or maintain adequate coverage and reimbursement for new or current products could limit our ability to market those products and decrease our ability to generate revenue.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regulations that govern marketing approvals, pricing, coverage and reimbursement for new drugs vary widely from country to country. In the U.S.,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 For more information, please see “Item 1. Business – Government Regulation – Coverage and Reimbursement” in our Annual Report on Form 10-K filed with the SEC on March 4, 2026.</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the U.S.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Government authorities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and other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cell therapy products. Sales of these or other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are not available, or are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Reimbursement by a third-party payor may depend upon a number of factors, including, but not limited to, the third-party payor’s determination that use of a product is: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covered benefit under its health plan;</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safe, effective and medically necessary;</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appropriate for the specific patient;</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cost-effective;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neither experimental nor investigational.</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prices of medicines under such systems are substantially lower than in the U.S.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U.S., the reimbursement for products may be reduced compared with the U.S. and may be insufficient to generate commercially reasonable revenues and profits.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There is also significant uncertainty related to the insurance coverage and reimbursement of newly approved products and coverage may be more limited than the purposes for which the medicine is approved by the FDA or comparable foreign regulatory authorities. In the U.S., the principal decisions about reimbursement for new medicines are typically made by the Centers for Medicaid and Medicare Services (CMS), an agency within the U.S. Department of Health and Human Services (HHS).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 candidates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For example, a number of cancer drugs have been approved for reimbursement in the U.S. and have not been approved for reimbursement in certain European countries.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(ASP) and best price. Penalties may apply in some cases when such metrics are not submitted accurately and timely. Further, these prices for drugs may be reduced by mandatory discounts or rebates required by government healthcare programs.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cannot be sure that reimbursement will be available for any product candidate that we commercialize and, if reimbursement is available, the level of reimbursement. Reimbursement may impact the demand for, or the price of, any product candidate for which we obtain marketing approval. In order to obtain reimbursement, physicians may need to show that patients have superior treatment outcomes with our product candidates compared to standard of care drugs, including lower-priced biosimilar versions of standard of care drugs.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The impact of recent healthcare reform legislation and other changes in the healthcare industry and in healthcare spending on us is currently unknown and may adversely affect our business model.</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revenue prospects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 For more information on healthcare laws and regulations that may impact us, please see “Item 1. Business – Government Regulation – Healthcare Legislative Reform” in our Annual Report on Form 10-K field with the SEC on March 4, 2026.</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significant revisions to the Affordable Care Act and drug pricing reforms. The continuing efforts of the government, insurance companies, managed care organizations and other payors of healthcare services to contain or reduce costs of healthcare and/or impose price controls may adversely affect:</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demand for our product candidates, if we obtain regulatory approval;</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set a price that we believe is fair for our product candidates;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coverage and reimbursement approval for a product candidate;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generate revenue and achieve or maintain profitability;</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level of taxes that we are required to pay;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of capital.</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Any reduction in reimbursement from Medicare or other government programs may result in a similar reduction in payments from private payors, which may adversely affect our future profitability. 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Regulatory requirements in the U.S. and abroad governing cell therapy products have changed frequently and may continue to change in the future, which could negatively impact our ability to complete clinical trials and commercialize our product candidates in a timely manner, if at all.</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Regulatory requirements in the U.S. and abroad governing cell therapy products have changed frequently and may continue to change in the future. The FDA has established an office, called the Office of Therapeutic Products within its Center for Biologics Evaluation and Research to meet its growing cell and gene therapy workload. The FDA also established the Cellular, Tissue and Gene Therapies Advisory Committee to advise its review. Under guidelines issued by the National Institutes of Health (NIH) certain gene therapy clinical trials are subject to review and oversight by an institutional biosafety committee (IBC) a local institutional committee that reviews and oversees research utilizing recombinant or synthetic nucleic acid molecules at that institution. Before such a clinical trial can begin, the institution’s institutional review board (IRB) and its IBC assess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Moreover, serious adverse events or developments in clinical trials of gene therapy product candidates conducted by others may cause the FDA or other regulatory bodies to initiate a clinical hold on our clinical trials or otherwise change the requirements for approval of any of our product candidates. Although the FDA decides whether individual cell and gene therapy protocols may proceed, the review process and determinations of other reviewing bodies can impede or delay the initiation of a clinical trial, even if the FDA has reviewed the trial and approved its initiation.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Inadequate funding for the FDA, the SEC and other government agencies could hinder their ability to hire and retain key personnel, and substantial changes in leadership, personnel, organizational structure, and policy could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staffing, government budget and funding levels, the FDA’s ability to hire and retain key personnel and accept the payment of user fees, statutory, regulatory, and policy changes, and other events that may otherwise affect the FDA’s ability to perform routine functions.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For example, over the last several years the U.S. government has shut down several times and certain regulatory agencies, such as the FDA and the SEC, in some instances have had to furlough critical FDA, SEC and other government employees and stop critical activities.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Disruptions at the FDA and other agencies, including substantial leadership departures and changes, personnel cuts and policy changes, may also slow the time necessary for new drugs to be reviewed and/or approved, which would harm our business. Changes and cuts in FDA staffing also could result in delays in the FDA’s responsiveness or in its ability to review, or consistency in reviewing, regulatory submissions or applications, issue regulations or guidance, or implement or enforce regulatory requirements in a timely fashion or at all. If a prolonged government shutdown or substantial leadership, personnel, and policy changes occur,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 Such changes could significantly impact the ability of the FDA to timely review and take action on our regulatory submissions, which could have a material adverse effect on our business. Further, in our operations as a public company, future government shutdowns or substantial leadership, personnel, and policy changes could impact our ability to access the public markets and obtain necessary capital in order to properly capitalize and continue our operations.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With the change in the U.S. presidential administration in 2025, there is substantial uncertainty as to the extent and nature of how the Trump administration will continue to seek to modify or revise the requirements and policies of the FDA and other regulatory agencies with jurisdiction over our product candidates. This uncertainty could present new challenges and/or opportunities as we navigate development of our product candidates. Additionally, the Trump administration could issue or promulgate executive orders, regulations, policies or guidance that adversely affect us or create a more challenging or costly environment to pursue the development of new product candidates. Also, state governments may seek to address or react to changes at the federal level with changes to their regulatory frameworks in a manner that could impact our operations. Any delay in obtaining, or our inability to obtain, applicable regulatory approvals would delay or prevent development and commercialization of our product candidates and could materially adversely impact our business and prospects.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are subject to the obligations to and the rights of the U.S. government set forth in the Bayh-Dole Act of 1980 (Bayh-Dole Act). As a result, the U.S. government may have rights in certain inventions developed under these government-funded programs, including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Any exercise of the march-in rights by the U.S. government could harm our competitive position, business, financial condition, results of operations and prospects. In December 2023, the Biden administration released a proposed framework specifying for the first time that price can be a factor in considering whether an invention is sufficiently available to the public. The proposed framework could potentially enable march-in rights to be used as a tool to regulate drug pricing. The potential inclusion of price as a factor in a march-in determination is expected to draw extensive criticism and challenge, and the ultimate impact is currently unknown. If the U.S. government exercises such march-in rights, we may receive compensation deemed reasonable by the U.S. government, which may be less than what we might be able to obtain in the open market. IP generated under a government-funded program is also subject to certain reporting requirements, compliance with which may require us to expend substantial resources.</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Our employees, independent contractors, consultants, commercial partners and vendors may engage in misconduct or other improper activities, including noncompliance with regulatory standards and requirements.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are exposed to the risk of employee fraud or other illegal activity by our employees, independent contractors, consultants, commercial partners and vendors. Misconduct by these parties could include intentional, reckless and/or negligent conduct that fails to: comply with the regulations of the FDA and other similar foreign regulatory authorities, provide true, complete and accurate information to the FDA and other similar foreign regulatory authorities, comply with manufacturing standards we have established, comply with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healthcare fraud and abuse laws in the U.S. and similar foreign fraudulent misconduct laws or report financial information or data accurately or to disclose unauthorized activities to us. If we obtain FDA approval of any of our product candidates and begin commercializing those products in the U.S., our potential exposure under such laws and regulations will increase significantly, and our costs associated with compliance with such laws and regulations are also likely to increase.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For more information, please see “Item 1. Business – Government Regulation – Anti-Kickback and False Claims Laws and Other Regulatory Matters” in our Annual Report on Form 10-K filed with the SEC on March 4, 2026.</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Additionally, we are subject to state and foreign equivalents of each of the healthcare laws described above, among others, some of which may be broader in scope and may apply regardless of the payor.</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have adopted a code of conduct, but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Efforts to ensure that our business arrangements with third parties will comply with applicable healthcare laws and regulations will involve substantial costs. Because of the breadth of these laws and the narrowness of the statutory exceptions and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criminal, civil and administrative sanctions including monetary penalties, damages, fines, disgorgement, individual imprisonment, and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reputational harm, and we may be required to curtail or restructure our operations, any of which could adversely affect our ability to operate our business and our results of operations.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provision of benefits or advantages to physicians to induce or encourage the prescription, recommendation, endorsement, purchase, supply, order or use of medicinal products is also prohibited in the EU. The provision of benefits or advantages to induce or reward improper performance generally is governed by the national anti-bribery laws of EU Member States and the Bribery Act 2010 (Bribery Act) in the UK. Infringement of these laws could result in substantial fines and imprisonment. Payments made to physicians in certain EU Member States must be publicly disclosed.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UK despite its departure from the EU. Moreover, agreements with physicians often must be the subject of prior notification and approval by the physician’s employer, his or her competent professional organization and/or the regulatory authorities of the individual EU Member States.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We are currently subject to, and may in the future become subject to additional, federal, state and foreign laws and regulations, industry guidelines, and contractual requirements, imposing obligations on how we collect, store, use and process personal information. Our actual or perceived failure to comply with such obligations could harm our business.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are, and may increasingly become, subject to various laws and regulations, as well as contractual obligations and mandatory industry standards relating to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the U.S., various federal and state regulators, including governmental agencies like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(CCPA) established privacy rights for California residents for covered companies that process their personal information. Among other things, the CCPA requires covered companies to provide certain disclosures to California residents and provide such residents with new data protection and privacy rights, including the ability to opt-out of certain sales of personal information. The amendments introduced by the California Privacy Rights Act (CPRA) significantly modified the CCPA by expanding privacy rights with respect to certain personal information and created a state agency to oversee implementation and enforcement efforts, among other changes. The CCPA provides for civil penalties for violations, as well as a private right of action for certain data breaches. This may increase the likelihood of, and risks associated with, data breach litigation, including class action litigation and regulatory enforcement.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Similar laws have been passed in numerous other states and a number of other states have proposed new privacy laws, some of which are similar to the above discussed recently passed laws.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would make our compliance obligations more complex and costly and may increase the likelihood that we may be subject to enforcement actions or otherwise incur liability for noncompliance. In addition, laws in all 50 U.S. states require businesses to provide notice to individuals if certain of their personal information has been disclosed as a result of a qualifying data breach. There are also states that are specifically regulating health information. For example, Washington’s My Health My Data Act. The My Health My Data Act imposes new state restrictions and requirements on the processing and sale of consumer health data and creates a private right of action,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a small number of states have passed laws that regulate biometric data specifically. These various privacy and security laws may impact our business activities, including our identification of research subjects, relationships with business partners and ultimately the marketing and distribution of our products. State laws are changing rapidly and compliance requirements and enforcement remains unpredictable.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Moreover, U.S. regulators and legislators are increasingly scrutinizing and restricting certain personal data transfers and transactions involving foreign countries. For example, the Department of Justice's April 8, 2025 Final Rule on "Preventing Access to Americans’ Bulk Sensitive Personal Data and United States Government-Related Data by Countries of Concern"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Internationally, laws, regulations and standards in many jurisdictions apply broadly to the collection, use, retention, security, disclosure, transfer, marketing or other processing of personal data. For example, the collection, use, storage, disclosure, transfer, or other processing of personal data regarding individuals in the European Economic Area (EEA), including personal health data, is subject to the EU General Data Protection Regulation 2016/679 (EU GDPR), and with regards individuals based in the UK, the EU GDPR in such form as incorporated into the laws of the UK (UK GDPR, together with EU GDPR referred to as “GDPR”) which became effective on May 25, 2018. The GDPR is wide-ranging in scope and imposes numerous requirements on companies that process personal data, including requirements relating to having a legal basis or condition for processing personal data, stricter requirements relating to the processing of sensitive data (such as health data), where required by GDPR obtaining consent of the individuals to whom the personal data relates, providing information to individuals regarding data processing activities, implementing safeguards to protect the security and confidentiality of personal data, providing notification of data breaches, requirements to conduct data protection impact assessments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high risk processing and taking certain measures when engaging third-party processors. The GDPR permits data protection authorities to impose large penalties for violations of the GDPR, including potential fines of up to €20 million (£17.5 million in UK)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GDPR provides that EEA Member States may make their own further laws and regulations in relation to the processing of genetic, biometric or health data, which could result in differences between EEA Member States, limit our ability to use and share personal data or could cause our costs to increase, and harm our business and financial condition.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Significantly, the GDPR imposes strict rules on the transfer of personal data out of the EEA and UK to other regions outside the EEA/UK, or third countries, that have not been deemed to offer “adequate” privacy protections by the competent data protection authorities, including the U.S. in certain circumstances, unless a derogation exists or adequate international transfer safeguards are put in place, such as, for example, the European Commission approved Standard Contractual Clauses (the EU SCCs) and the UK International Data Transfer Agreement/Addendum (the UK IDTA). Where relying on the EU SCCs or UK IDTA for data transfers, we may also be required to carry out transfer impact assessments on the transfers made pursuant to the EU SCCs and UK IDTA, on a case-by-case basis, to ensure the law in the recipient country provides “essentially equivalent” protections to safeguard the transferred personal data as provided in the EEA and UK, and may be required to adopt supplementary measures if this standard is not met. Further, the EU and the U.S. have adopted its adequacy decision for the EU-U.S. Data Privacy Framework (Framework), which entered into force on July 10, 2023. This Framework provides that the protection of personal data transferred between the EU and the U.S. is comparable to that offered in the EU. This provides a further avenue to ensuring transfers to the U.S. are carried out in line with GDPR. There has been an extension to the Framework to cover UK transfers to the U.S. The Framework could be challenged like its predecessor frameworks. The international transfer obligations under the EEA and UK data protection regimes will require significant effort and cost and may result in us needing to make strategic considerations around where EEA and UK personal data is located and which service providers we can utilize for the processing of EEA and UK personal data. Any inability to transfer personal data from the EEA to the U.S. in compliance with data protection laws may impede our ability to conduct trials and may adversely affect our business and financial position.</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 xml:space="preserve">Although the UK is regarded as one of the third countries under the EU GDPR, the European Commission has adopted an adequacy decision in favor of the UK, enabling data transfers from EEA member states to the UK without additional safeguards. In December 2025, the European Commission adopted a decision to extend the validity of the UK adequacy decision for six years until December 2031, determining that the UK continues to offer a level of data protection that is “essentially equivalent” to the EU standards. This follows the UK’s adoption of the Data (Use and Access) Act 2025 on June 19, 2025. The Data (Use and Access) Act 2025 may have the effect of further altering the similarities between the UK and EEA data protection regime. </w:t>
      </w:r>
      <w:r>
        <w:rPr>
          <w:rFonts w:ascii="Times New Roman" w:hAnsi="Times New Roman"/>
          <w:color w:val="000000"/>
          <w:sz w:val="18"/>
        </w:rPr>
        <w:t>T</w:t>
      </w:r>
      <w:r>
        <w:rPr>
          <w:rFonts w:ascii="Times New Roman" w:hAnsi="Times New Roman"/>
          <w:color w:val="000000"/>
          <w:sz w:val="20"/>
        </w:rPr>
        <w:t>he competent authorities in the EEA Member States may interpret GDPR obligations slightly differently from country to country and therefore we do not expect to operate in a uniform legal landscape in the EEA. The European Commission has also proposed reforms under the “Digital Omnibus” package, which, if adopted, may further modify EU GDPR-related requirements, including by clarifying the scope of “personal data” and the treatment of coded or de-identified data, potentially requiring further adjustments to our European privacy compliance framework.</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potential of the respective provisions and enforcement of the EU GDPR and UK GDPR further diverging in the future creates additional regulatory challenges and uncertainties for us. All of these evolving compliance and operational requirements impose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 Any failure or perceived failure by us to comply with any applicable federal, state or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injunctions, penalties or judgments. Any of the foregoing could have a material adverse effect on our business, financial condition, results of operations and prospects.</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*Artificial intelligence presents risks and challenges that can impact our business, including by cybersecurity, regulatory, and operational risks.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may use, and our vendors may incorporate, artificial intelligence ("AI"), both in our own development and implementation of AI and through the adoption of commercially available tools. The use of AI presents risks and challenges that could adversely affect our business and reputation, including cybersecurity, data privacy, IT, confidentiality, regulatory, legal, operational, competitive, reputational, intellectual property and other risks. Our use of certain AI tools may increase the risk of unauthorized disclosure of confidential information, compromise of proprietary intellectual property, or inadvertent inclusion of third-party intellectual property 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protected material, which could result in disputes, claims of infringement, legal liabilities or financial losses. The rapidly evolving regulatory landscape surrounding AI also poses a risk, as new laws and regulations could impose additional compliance burdens, resulting in increased operational costs to comply with U.S. and non-U.S. laws concerning the use of AI, the nature of which cannot be determined at this time.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For example, the EU Artificial Intelligence Act, which entered into force in 2024 and is being phased in on a staggered basis (with certain high-risk obligations recently deferred to 2027 and 2028), may impose significant obligations on companies that deploy AI systems in high-risk contexts, including applications related to clinical development, regulatory submissions, and medical or scientific analysis. To the extent we use or rely on AI tools in such contexts, we may be required to implement additional compliance measures, conduct conformity assessments, or limit or modify our use of certain AI systems, any of which could increase our costs or disrupt our operations. In addition, AI systems, including large language models and other generative AI tools, are known to produce outputs that are factually incorrect, incomplete, or otherwise unreliable, introducing additional operational and regulatory risks into our workflows. In the U.S., the AI regulatory environment is complex and uncertain. Over the past year, states have advanced, and in some cases passed, dozens of laws focusing on automated decision making, including on deployment of AI in healthcare settings. At the federal level, the FDA has advanced guidance and proposed frameworks for regulating AI in drug discovery, marketing submissions, and medical device development. The resulting patchwork of state and federal requirements continues to evolve, remains subject in certain cases to legal challenge, and may be interpreted and applied inconsistently across jurisdictions, any of which could increase our compliance costs or require us to limit or modify our use of AI tools.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Additionally, our vendors may incorporate AI tools into their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personal information, confidential information and intellectual property. The use of generative AI models in our internal or third-party systems may create new attack surfaces or methods for adversaries, which could impact us and our vendors. Any of these effects could damage our reputation, result in the loss of valuable property and information, cause us to breach applicable laws and regulations, and adversely impact our business.</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Even if we are able to commercialize any product candidates, the products may become subject to unfavorable pricing regulations, third-party reimbursement practices or healthcare reform initiatives, which would harm our business.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revenues, if any, we are able to generate from the sale of the product in that country. Adverse pricing limitations may hinder our ability to recoup our investment in one or more product candidates, even if our product candidates obtain marketing approval. For more information, please see “Item 1. Business – Government Regulation – Coverage and Reimbursement” in our Annual Report on Form 10-K filed with the SEC on March 4, 2026.</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Our ability to commercialize any product candidates successfully also will depend in part on the extent to which coverage and adequate reimbursement for these products and related treatments will be available from government healthcare programs,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coverage and the amount of reimbursement for particular medications. Increasingly, government authorities and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 candidates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There may be significant delays in obtaining coverage and reimbursement for newly approved drugs, and coverage may be more limited than the purposes for which the drug is approved by the FDA or similar regulatory authorities outside of the U.S. Moreover, eligibility for coverage and reimbursement does not imply that a drug will be paid for in all cases or at a rate that covers our costs, including research, development, intellectual property,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ind w:left="490" w:right="0" w:hanging="0"/>
        <w:jc w:val="both"/>
        <w:rPr>
          <w:rFonts w:ascii="Times New Roman" w:hAnsi="Times New Roman"/>
          <w:b/>
          <w:i/>
          <w:color w:val="000000"/>
          <w:sz w:val="20"/>
        </w:rPr>
      </w:pPr>
      <w:r>
        <w:rPr>
          <w:rFonts w:ascii="Times New Roman" w:hAnsi="Times New Roman"/>
          <w:b/>
          <w:i/>
          <w:color w:val="000000"/>
          <w:sz w:val="20"/>
        </w:rPr>
        <w:t>If we are unable to obtain and maintain patent protection for any product candidates we develop and for our technology, or if the scope of the patent protection obtained is not sufficiently broad, our competitors could develop and commercialize products, product candidates and technology similar or identical to ours, and our ability to successfully commercialize any product candidates we may develop, and our technology may be adversely affected.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success will depend in large part on our ability and the ability of our licensors and collaborators to obtain and maintain patent protection and other intellectual property and proprietary rights in the U.S. and other countries with respect to our technology and our product candidates, their respective components, formulations, combination therapies, methods used to manufacture them and methods of treatment and development that are important to our business, as well as our ability to operate our business without infringing, misappropriating or otherwise violating the intellectual property rights of others.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Given the early stage of development of our product candidates, our patent portfolio is similarly at an early stage. If we do not obtain meaningful patent coverage for our product candidates, their respective components, formulations, combination therapies, methods used to manufacture them and methods of treatment, competitors may be able to erode or negate any competitive advantage we may have, which would likely harm our business and ability to achieve profitability. To establish our proprietary position, we have filed provisional patent applications and corresponding Patent Cooperation Treaty (PCT), national, and regional applications related to our novel product candidates that are important to our business, and we have exclusively licensed a patent family from the Brigham and Women's Hospital, Inc. (BWH); we may in the future also license or purchase issued patents or pending patent applications filed by others. U.S. provisional patent applications are not eligible to become issued patents until, among other things, we file a non-provisional patent application within 12 months of filing of one or more of our related provisional patent applications. With regard to such U.S. provisional patent applications, if we do not timely file any non-provisional patent applications, we may lose our priority date with respect to our provisional patent applications and any patent protection on the inventions disclosed in our provisional patent applications. While we intend to timely file non-provisional patent applications relating to our provisional patent applications, we cannot predict whether any such patent applications will result in the issuance of patents that provide us with any competitive advantage. If we are unable to secure or maintain patent protection with respect to our antibody technology and any proprietary products and technology we develop, our business, financial condition, results of operations, and prospects could be materially harmed.</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If the scope of the patent protection we or our existing and potential licensors obtain, if any, is not sufficiently broad, we may not be able to prevent others from developing and commercializing technology and products similar or identical to ours. The degree of patent protection we require to successfully compete in the marketplace may be unavailable or severely limited and may not adequately protect our business or permit us to gain or keep any competitive advantage. We cannot provide any assurances that any of our owned or exclusively licensed pending patent applications that mature into issued patents will include claims with a scope sufficient to protect our current and future product candidates or otherwise provide any competitive advantage. In addition, to the extent that we license intellectual property now or in the future, we cannot provide any assurances that those licenses will remain in force. In addition, the laws of foreign countries may not protect our rights to the same extent as the laws of the U.S. Furthermore, patents have a limited lifespan. In the U.S., if all maintenance fees are timely paid, the natural expiration of a patent is generally 20 years from its earliest U.S. non-provisional filing date. Various extensions may be available; however, the life of a patent, and the protection it affords, is limited. Even if patents covering our product candidates are obtained, once the patent life has expired for a product candidate, we may be open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competition. Given the amount of time required for the development, testing and regulatory review of new product candidates, any patents that we may obtain in the future protecting such candidates might expire before or shortly after commercialization of such candidates, if any. As a result, our owned and licensed patent portfolio may not provide us with sufficient rights to exclude others from commercializing product candidates similar or identical to ours.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Even if they are unchallenged, our issued patents or pending patent applications, if issued, may not provide us with any meaningful protection or prevent competitors or other third parties from designing around our patent claims to circumvent any patents that may issue by developing similar or alternative technologies or therapeutics in a non-infringing manner. For example, a third party may develop a competitive therapy that provides benefits similar to one or more of our product candidates but that uses a formulation and/or a device that falls outside the scope of our patent claims. If any patent protection that we may obtain in the future from the patent applications we hold or pursue with respect to our product candidates is not sufficiently broad to impede such competition, our ability to successfully commercialize our product candidates could be negatively affected, which would harm our business. Similar risks apply to patents or patent applications that we have in-licensed or may in the future in-license.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Patent positions of life sciences companies can be uncertain and involve complex factual and legal questions and are subject of much litigation. No consistent policy governing the scope of claims allowable in the field of binding protein therapeutics, including antibodies and T cell receptors, has emerged in the U.S. The scope of patent protection in jurisdictions outside of the U.S. is also uncertain. Changes in either the patent laws or in their interpretation in any jurisdiction that we seek patent protection may diminish our ability to protect our inventions, obtain, maintain, protect and enforce our intellectual property and other proprietary rights; and, more generally, may affect the value of our intellectual property, including the narrowing of the scope of any patents that we may obtain in the future and any that we may license.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patent prosecution process is complex, expensive, time-consuming and inconsistent across jurisdictions. We may not be able to file, prosecute, maintain, enforce, or license all necessary or desirable patent rights at a commercially reasonable cost or in a timely manner. In addition, we do not intend to pursue, and may not obtain, patent protection in all potentially relevant markets. It is possible that we will fail to identify important patentable aspects of our research and development efforts in time to obtain appropriate or any patent protection or fail to file patent applications covering inventions made in the course of development and commercialization activities before a competitor or another third party files a patent application covering, or publishes information disclosing, a similar, independently-developed invention. Such competitor’s or other third party’s patent application may pose obstacles to our ability to obtain patent protection or limit the scope of the patent protection we may obtain. While we enter into non-disclosure and confidentiality agreements with parties who have access to confidential or patentable aspects of our research and development efforts, including for example, our employees, corporate collaborators, external academic scientific collaborators, CROs, contract manufacturers, consultants, advisors and other third parties, any of these parties may breach the agreements and disclose such output before a patent application is filed, thereby endangering our ability to seek patent protection. In addition, publications of discoveries in the scientific and scholarly literature often lag behind the actual discoveries, and patent applications in the U.S. and other jurisdictions are typically not published until 18 months after filing, or in some cases not at all. Consequently, we cannot be certain that we or our licensors were the first to make the inventions claimed in our owned or in-licensed patent rights and patent applications or were the first to file for patent protection on the inventions claimed in our pending patent applications.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issuance, scope, validity, enforceability and commercial value of our and our current or future licensors’ patent rights are highly uncertain. Our and our licensors’ pending and future patent applications may not result in patents being issued that protect our technology or product candidates, in whole or in part, or which effectively exclude others from commercializing competitive technologies and product candidates. Further, the scope of the invention claimed in a patent application can be significantly reduced before the patent is issued, and this scope can be reinterpreted after issuance. Even where patent applications we currently own or that we license now or in the future issue as patents, they may not issue in a form that will provide us with adequate protection to prevent competitors or other third parties from competing with us, or otherwise provide us with a competitive advantage. Any patents that eventually issue may be challenged, narrowed or invalidated by third parties. Consequently, we do not know whether any of our product candidates will be protectable or remain protected by valid and enforceable patent rights. Our competitors or other third parties may be able to evade or circumvent our patent rights by developing new alternative technologies or products in a non-infringing manner.</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 xml:space="preserve">The issuance or grant of a patent is not conclusive as to its inventorship, scope, validity or enforceability, and patents we may obtain in the future may be challenged, invalidated, narrowed or held to be enforceable, including in the courts or patent offices in the U.S. and abroad, or circumvented. There may be prior art of which we are not aware that may affect the validity or enforceability of a patent claim. There also may be prior art of which we are aware, but which we do not believe affects the validity or enforceability of a claim, but which may, nonetheless, ultimately be found to affect the validity or enforceability of a claim. We may become subject to a third-party pre-issuance submission of prior art or opposition, derivation, revocation, re-examination, post-grant and </w:t>
      </w:r>
      <w:r>
        <w:rPr>
          <w:rFonts w:ascii="Times New Roman" w:hAnsi="Times New Roman"/>
          <w:i/>
          <w:color w:val="000000"/>
          <w:sz w:val="20"/>
        </w:rPr>
        <w:t>inter partes</w:t>
      </w:r>
      <w:r>
        <w:rPr>
          <w:rFonts w:ascii="Times New Roman" w:hAnsi="Times New Roman"/>
          <w:color w:val="000000"/>
          <w:sz w:val="20"/>
        </w:rPr>
        <w:t xml:space="preserve"> review, or interference proceeding and other similar proceedings challenging any patent rights we have or may obtain in the future or the patent rights of others, including based on priority of invention or other features of patentability, in the U.S. Patent and Trademark Office (USPTO) or other foreign patent office. An unfavorable determination in any such submission, proceeding or litigation could reduce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scope of, or invalidate, any patent rights we have or may obtain in the future, allow third parties to use or commercialize our technology or product candidates and compete directly with us, without payment to us (as they can now), or extinguish our ability to manufacture or commercialize product candidates without infringing third-party patent rights. Such proceedings also may result in substantial cost and require significant time from our scientists and management, even if the eventual outcome is favorable to us. In addition, there could be public announcements of the results of hearings, motions or other interim proceedings or developments. If securities analysts or investors perceive these results to be negative, it could have a material adverse effect on the price of our common stock.</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addition, given the amount of time required for the development, testing and regulatory review of new product candidates, any patents we have or may obtain in the future protecting such candidates might expire before or shortly after commercialization of such candidates, if any. As a result, our intellectual property may never provide us with sufficient rights to exclude others from commercializing products similar or identical to ours. Moreover, any patents or patent applications that we own or may own or in-license in the future may be co-owned with third parties. If we are unable to obtain an exclusive license to any such third-party co-owners’ interest in any such patents or patent applications, such co-owners may be able to license their rights to other third parties, including our competitors, thereby enabling our competitors to market competing products and technology. In addition, we or our licensors may need the cooperation of any such co-owners of any patents that we own or may own or in-license in the future in order to enforce such patents against third parties, and such cooperation may not be provided to us or our licensors. Any of the foregoing could have a material adverse effect on our competitive position, business, financial conditions, results of operations and prospects.</w:t>
      </w:r>
    </w:p>
    <w:p>
      <w:pPr>
        <w:pStyle w:val="TextBody"/>
        <w:bidi w:val="0"/>
        <w:spacing w:before="360" w:after="283"/>
        <w:ind w:left="490" w:right="0" w:hanging="0"/>
        <w:jc w:val="both"/>
        <w:rPr>
          <w:rFonts w:ascii="Times New Roman" w:hAnsi="Times New Roman"/>
          <w:sz w:val="20"/>
        </w:rPr>
      </w:pPr>
      <w:r>
        <w:rPr>
          <w:rFonts w:ascii="Times New Roman" w:hAnsi="Times New Roman"/>
          <w:b/>
          <w:i/>
          <w:color w:val="000000"/>
          <w:sz w:val="20"/>
        </w:rPr>
        <w:t>We could be unsuccessful in obtaining meaningful patent protection on one or more components of our platform technology.</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believe that an important factor in our competitive position is our screening technology platform to identify future product candidates and therapeutic targets. Our screening platform is based in part on technology processes that are (or will be) publicly disclosed in patents and patent applications owned by or licensed to us. Even if such patents and patent applications provide broad protection, it may be difficult or impossible to detect whether a competitor is practicing the proprietary methods claimed in such patents or patent applications in order to discover their own product candidates and therapeutic targets. In such cases, any existing patents, or patents that may issue from patent applications, owned by or licensed to us would not provide us protection to prevent such activity. Additionally, a competitor may also practice such methods in a jurisdiction where we have no relevant patent protection. Our competitive position could be weakened by competitors or other third parties practicing the methods claimed in these patent applications in a manner we do not detect or in jurisdictions in which we or our licensors do not obtain any relevant patent protection.</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If we fail to comply with any of our obligations under existing or future agreements pursuant to which we license intellectual property rights or technology, if the licenses are terminated or if disputes regarding these licenses arise, we could lose significant rights or technology that are material to our business and could interfere with our ability to operate our business.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are a party to technology licenses, including in-license agreements with BWH and the Provincial Health Services Authority, and we may enter into additional licenses in the future. Such licenses do, and may in the future, impose commercial, contingent payment, royalty, insurance, indemnification, and other obligations on us. If we fail to comply with these obligations, our licensors may have the right to terminate the license, in which event we could lose valuable rights under our collaboration agreements and our ability to develop product candidates could be impaired. Additionally, should any such license agreement be terminated for any reason, there may be a limited number of replacement licensors, and a significant amount of time may be required to transition to a replacement licensor.</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Our rights to develop and commercialize our product candidates are subject in part to the terms and conditions of third-party licenses, pursuant to which we have acquired rights from the applicable licensors. Our rights with respect to such intellectual property may terminate, in whole or in part, if we fail to meet applicable requirements or milestones relating to development and commercialization. We may also lose our rights to develop and commercialize our product candidates under such agreements if we fail to pay required milestones or royalties. In the event of an early termination of our license agreements, all rights licensed and developed by us under these agreements may be extinguished, which may have an adverse effect on our business, financial condition, results of operations and prospects.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rely on certain of our licensors to prepare, file and prosecute patent applications and maintain patents and otherwise protect the intellectual property we license from them and may continue to do so in the future. We have limited or no control over these activities or any other intellectual property that may be related to our in-licensed intellectual property. For example, we cannot be certain that such activities by these licensors have been or will be conducted in compliance with applicable laws and regulations or will result in valid and enforceable patents and other intellectual property rights. We have limited or no control over the manner in which our licensors initiate an infringement proceeding against a third-party infringer of the intellectual property rights, or defend certain of the intellectual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property that is licensed to us. It is possible that any licensors’ infringement proceeding or defense activities may be less vigorous than had we conducted them ourselves.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These agreements may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addition, a third party may in the future bring claims that our performance under our license agreements, including our sponsoring of clinical trials, interferes with such third party’s rights under its agreement with one of our licensors. If any such claim were successful, it may adversely affect our rights and ability to advance our product candidates as clinical candidates or subject us to liability for monetary damages, any of which would have an adverse effect on our business, financial condition, results of operations and prospects.</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We are currently, and expect in the future to be, party to material license or collaboration agreements, which may impose numerous obligations and restrictions on us.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are currently, and expect in the future to be, party to material license or collaboration agreements. These agreements typically impose numerous obligations and restrictions on us, such as various diligence, commercialization, insurance and payment obligations, among others, in order to maintain such licenses. Any of these restrictions or obligations could delay or otherwise negatively impact a transaction that we may wish to enter into. In addition, any termination of these licenses could result in the loss of significant rights and could harm our ability to commercialize our product candidates.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Licensing of intellectual property is of high importance to our business and involves complex legal, business and scientific issues. Disputes may also arise between us and our licensors regarding intellectual property subject to a license or collaboration agreement, including: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of rights granted under the license or collaboration agreement and other interpretation-related issues;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and the extent to which, our product candidates, technology and processes infringe on intellectual property of the licensor that is not subject to the licensing or collaboration agreement;</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right to sublicense patent and other intellectual property rights to third parties under collaborative development relationships;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calculation and existence of certain payment obligations under the license or collaboration agreement;</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diligence obligations with respect to the use of the licensed technology in relation to our development and commercialization of our product candidates, and what activities satisfy those diligence obligations;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inventorship and ownership of inventions, know-how and other intellectual property and proprietary rights resulting from the joint creation or use of intellectual property by our licensors and us and our partners;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priority of invention of patented technology.</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If disputes over intellectual property that we have licensed prevent or impair our ability to maintain our current licensing arrangements on acceptable terms, we may be unable to successfully develop and commercialize the affected product candidates.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are generally also subject to all of the same risks with respect to protection of intellectual property that we license, as we are for intellectual property that we own, and our success will depend in part on the ability of our licensors to adequately obtain, maintain, protect and enforce patent protection for our licensed intellectual property, especially with respect to patent rights which we exclusively in-license. If we or our licensors fail to adequately protect this intellectual property, our ability to commercialize products could suffer.</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rely on certain of our licensors to prepare, file and prosecute patent applications and maintain patents and otherwise protect the intellectual property we license from them and may continue to do so in the future. We have limited control over these activities or any other intellectual property that may be related to our in-licensed intellectual property. For example, we cannot be certain that such activities by these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any licensors’ infringement proceeding or defense activities may be less vigorous than had we conducted them ourselves or may not be conducted in accordance with our best interests.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Furthermore, certain of our licenses may not provide us with exclusive rights to use the licensed intellectual property and technology, or may not provide us with exclusive rights to use such intellectual property and technology in all relevant fields of use and in all territories in which we may wish to develop or commercialize our technology and product candidates in the future. For example, a portion of our intellectual property portfolio is non-exclusively licensed to us and may be used by our licensors or licensed to third parties, and such third parties may have certain enforcement rights with respect to such intellectual property. Thus, patent rights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Any of the foregoing could have a material adverse effect on our business, financial condition, results of operations and prospects.</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Our proprietary position may depend upon patents that are manufacturing, formulation or method-of-use patents, which may not prevent a competitor or other third party from using the same product candidate for another use.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Composition-of-matter patents are generally considered to be the strongest form of intellectual property protection for drug products because such patents provide protection without regard to any particular method of use or manufacture or formulation of the active pharmaceutical ingredient used. We currently have a limited number of issued patents, but our pending owned U.S. and international patent applications include claims directed to certain compositions-of-matter and certain methods of use of our product candidates. We cannot be certain that claims in any issued patent, or patent that may issue from our pending owned or in-licensed patent applications, will cover the composition-of-matter of any of our current or future product candidates. If we are unsuccessful in obtaining issued patents that cover the composition-of-matter of any of our current or future product candidates, competitors may be able to erode or negate any competitive advantage we may have and our business, financial condition, results of operations and prospects could be materially harmed.</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If our efforts to protect the proprietary nature of the intellectual property related to our technologies are not adequate, we may not be able to compete effectively in our market.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Biotechnology and pharmaceutical companies generally, and we in particular, compete in a crowded competitive space characterized by rapidly evolving technologies and aggressive defense of intellectual property. The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rely upon a combination of patent rights, confidentiality agreements, trade secret protection and license agreements to protect the intellectual property related to our technologies. Any disclosure to or misappropriation by third parties of our confidential proprietary information could enable competitors or other third parties to quickly duplicate or surpass our technological achievements, thus eroding our competitive position in our market. We, or any partners, collaborators, licensees or licensors may fail to identify patentable aspects of inventions made in the course of development and commercialization activities before it is too late to obtain patent protection on them. Therefore, we may miss potential opportunities to strengthen our patent position.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It is possible that defects of form in the preparation or filing of our patent applications may exist, or may arise in the future, for example with respect to proper priority claims, inventorship, claim scope, or requests for patent term adjustments. If we or any partners, collaborators, licensees or licensors fail to establish, maintain or protect such patent rights and other intellectual property rights, such rights may be reduced or eliminated. If any partners, collaborators, licensees or licensors are not fully cooperative or disagree with us as to the prosecution, maintenance or enforcement of any patent rights, such patent rights could be compromised. If there are material defects in the form, preparation, prosecution, or enforcement of our patent applications, any patents that may issue from such patent applications may be invalid and/or unenforceable, and such applications may never result in valid, enforceable patents. Any of these outcomes could impair our ability to prevent competition from third parties, which may have an adverse impact on our business, financial condition, results of operations and prospects.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Currently, our patents and patent applications are directed to our TCR-T therapy product candidates and accompanying technologies. We seek or plan to seek patent protection for our proprietary platform and product candidates by filing and prosecuting patent applications in the U.S. and other countries as appropriate. Our patent portfolio also includes patent families exclusively licensed from BWH, which include issued and pending U.S. and foreign non-provisional patent applications. Any patents that have issued or may issue from any non-provisional patent applications claiming priority to these provisional patent applications would be expected to expire on various dates from 2038 through 2047, in each case without taking into account any possible patent term adjustments or extensions.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anticipate additional patent applications will be filed both in the U.S. and in other countries, as appropriate. However, we cannot predict:</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and when any patents will issue;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degree and range of protection that any patents that may issue will afford us against competitors;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any of our intellectual property will provide any competitive advantage;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any patents that may issue may be challenged, invalidated, modified, revoked, circumvented or found to be unenforceable;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or not others will obtain patents claiming inventions similar to those covered by our patent applications; or</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we will need to initiate or defend litigation or administrative proceedings, which may be costly regardless of whether we win or lose.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Additionally, we cannot be certain that the claims in our pending patent applications covering the composition of matter of our product candidates will be considered patentable by the USPTO or patent offices in foreign countries.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Method-of-use patents protect the use of a product for the specified method. If we obtain any of these types of patents, they would not prevent a competitor from making and marketing a product that is identical to one of our product candidates for an indication that is outside the scope of the patented method. Moreover, even if competitors do not actively promote their product for our targeted indications, physicians may prescribe these products “off-label.” Although off-label prescriptions may induce or contribute to the infringement of method-of-use patents, the practice is common, and such infringement is difficult to prevent or prosecute.</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 xml:space="preserve">The strength of patents in the biotechnology and pharmaceutical field involves complex legal and scientific questions and can be uncertain. The patent applications that we own or in-license may fail to result in issued patents with claims that cover our product candidates or uses thereof in the U.S. or in other foreign countries. Even if the patents do successfully issue, third parties may challenge the validity, enforceability or scope thereof, which may result in such patents being narrowed, invalidated or held unenforceable.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Since patent applications in the U.S. and most other countries are confidential for a period of time after filing, we cannot be certain that we were the first to file any patent application related to our product candidates. Various post-grant review proceedings, such as </w:t>
      </w:r>
      <w:r>
        <w:rPr>
          <w:rFonts w:ascii="Times New Roman" w:hAnsi="Times New Roman"/>
          <w:i/>
          <w:color w:val="000000"/>
          <w:sz w:val="20"/>
        </w:rPr>
        <w:t xml:space="preserve">inter partes </w:t>
      </w:r>
      <w:r>
        <w:rPr>
          <w:rFonts w:ascii="Times New Roman" w:hAnsi="Times New Roman"/>
          <w:color w:val="000000"/>
          <w:sz w:val="20"/>
        </w:rPr>
        <w:t>review and post-grant review, are available for any interested third party to challenge the patentability of claims in any patents issued to us or our licensors. While these post-grant review proceedings have been used less frequently to invalidate biotech patents, they have been successful regarding other technologies, and these relatively new procedures are still changing, and those changes might affect future results. No assurance can be given that, if challenged, any patents that we or our licensors may obtain would be declared by a court to be valid or enforceable or that, even if found valid and enforceable, a competitor’s technology or product would be found by a court to infringe any such patent. We may analyze patents or patent applications of our competitors that we believe are relevant and conclude that our activities do not infringe any valid claims of those patents or patent applications, but our conclusions may be erroneous or our competitors may obtain patents with issued claims, including in patents we consider to be unrelated, that block our efforts or that our product candidates or our activities infringe. Others may independently develop products that have the same effect as our product candidates without infringing any patents we may obtain or any of our other intellectual property rights, or they may design around the claims of any patents that we may obtain.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Recent and future patent reform legislation could increase the uncertainties and costs surrounding the prosecution of our patent applications and the enforcement or defense of any patents we may obtain. In March 2013, under the Leahy-Smith America Invents Act (America Invents Act) the U.S.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included a number of other significant changes to U.S. patent law, including provisions that have affected the way patent applications are prosecuted, redefined prior art and established a new post-grant review system. The effects of these changes are still unclear as the USPTO only recently developed new regulations and procedures in connection with the America Invents Act, and many of the substantive changes to patent law, including the “first-to-file” provisions, only became effective in March 2013. Moreover, the courts have yet to address many of these provisions. Overall, the America Invents Act and its implementation have increased the uncertainties and costs surrounding the prosecution of our patent applications and any enforcement or defense of any patents that we may obtain, which could have a material adverse effect on our business and financial condition.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degree of future protection for our proprietary rights is uncertain because legal means afford only limited protection and may not adequately protect our rights or permit us to gain or keep our competitive advantage. For example: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be able to make or use compounds or cells that are similar to the biological compositions of our product candidates but that are not covered by the claims of any patents that we may obtain;</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active biological ingredients in our current product candidates may eventually become commercially available in biosimilar drug products, and no patent protection may be available with regard to formulation or method of use;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our licensors, as the case may be, might not have been the first to file patent applications for these inventions;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may be prior public disclosures that could invalidate any patents that we or our licensors may obtain;</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inventors of our owned or in-licensed patent applications may become involved with competitors, develop products or processes that design around any patents that we may obtain, or become adverse to us or patent applications on which they are named as inventors;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 is possible that our owned or in-licensed patent applications omit individual(s) that should be listed as inventor(s) or include individual(s) that should not be listed as inventor(s), which may cause any patents that may issue from these patent applications to be held invalid or unenforceable;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engaged and may continue to engage in scientific collaborations, and such collaborators may develop adjacent or competing products to ours that are outside the scope of any patents that we may obtain;</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develop additional proprietary technologies for which we can obtain patent protection;</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candidates or diagnostic tests we develop may be covered by third parties’ patents or other exclusive rights; or</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patents of others may have an adverse effect on our business.</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would be harmed.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addition to the protection afforded by any patent rights we may obtain, we seek to rely on trade secret protection, confidentiality agreements, and license agreements to protect our proprietary know-how, information, technology and other proprietary information that is not patentable, processes for which patents are difficult to enforce and any other elements of our product discovery and development processes that involve proprietary know-how, information, or technology that we have not sought to protect through patent applications. For example, significant elements of our product candidates, including aspects of sample preparation, methods of manufacturing, cell culturing conditions, computational-biological algorithms, and related processes and software, are based on unpatented trade secrets that are not publicly disclosed. It is our policy to require our employees, consultants, outside scientific collaborators, sponsored researchers and other advisors to execute confidentiality agreements upon the commencement of employment or consulting relationships with us. These agreements generally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Despite these measures, we cannot be certain that our trade secrets and other confidential proprietary information will not be disclosed or that competitors will not otherwise gain access to our trade secrets or independently develop substantially equivalent information and techniques. Furthermore, the laws of some foreign countries do not protect proprietary rights to the same extent or in the same manner as the laws of the U.S. Courts outside the U.S. are sometimes less willing to protect trade secrets. As a result, we may encounter significant problems in protecting and defending our intellectual property both in the U.S. and abroad. If we choose to go to court to stop a third party from using any of our trade secrets, we may incur substantial costs. These lawsuits may consume our time and other resources even if we are successful. If we are unable to prevent unauthorized disclosure of our material intellectual property to third parties, we will not be able to establish or maintain a competitive advantage in our market, which could materially adversely affect our business, operating results and financial condition. For more information, see “Risks Related to Our Intellectual Property – We have limited foreign intellectual property rights and may not be able to protect our intellectual property rights throughout the world.”</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Third-party claims of intellectual property infringement, misappropriation or other violations may prevent or delay our product candidate discovery and development efforts.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Our commercial success depends in part on our avoiding infringement, misappropriation or other violation of the patents and proprietary rights of third parties. There is a substantial amount of litigation involving patents and other intellectual property rights in the biotechnology and pharmaceutical industries. We may be exposed to, or threatened with, future litigation by third parties having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patent or other intellectual property rights alleging that our product candidates and/or technologies infringe their intellectual property rights. Numerous U.S. and foreign issued patents and pending patent applications, which are owned by third parties, exist in the fields in which we are developing our product candidates or identifying potential product candidates.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Because of the large number of patents and patent applications in our fields, there is a risk that third parties may allege that they have patent rights encompassing our product candidates, technologies or methods.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If a third party claims that we infringe, misappropriate or otherwise violate its intellectual property rights, we may face a number of issues, including, but not limited to:</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infringement, misappropriation and other violation of intellectual property claims which, regardless of merit, may be expensive and time-consuming to litigate and may divert our management’s attention from our core business;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substantial damages for infringement, misappropriation or other violation which we may have to pay if a court decides that the product candidate or technology at issue infringes on, misappropriates or otherwise violates the third party’s rights, and, if the court finds that the infringement was willful, we could be ordered to pay treble damages and the patent owner’s attorneys’ fees;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court prohibiting us from developing, manufacturing, marketing or selling our product candidates, or from using our proprietary technologies, unless the third party licenses its product rights to us, which it is not required to do;</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a license is available from a third party, we may have to pay substantial royalties, upfront fees and other amounts, and/or grant cross-licenses to intellectual property rights for our product candidates or using our proprietary technologies;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redesigning our product candidates or processes so they do not infringe third-party intellectual property rights, which may not be possible or may require substantial monetary expenditures and time.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Some of our competitors or other third parties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Third parties may assert that we are employing their proprietary technology without authorization. Generally, conducting preclinical and clinical trials and other development activities in the U.S. is not considered an act of infringement. If any of our product candidates is licensed by the FDA, a third party may then seek to enforce its patent by filing a patent infringement lawsuit against us. While we do not believe that any claims that could otherwise have a materially adverse effect on the commercialization of our product candidates, if licensed, are valid and enforceable, we may be incorrect in this belief, or we may not be able to prove it in litigation. In this regard, patents issued in the U.S. by law enjoy a presumption of validity that can be rebutted only with evidence that is “clear and convincing”, a heightened standard of proof. As a result, there is no assurance that a court of competent jurisdiction would invalidate the claims of any such U.S. patent. If any third-party patent were held by a court of competent jurisdiction to cover the manufacturing process of our product candidates, constructs or molecules used in or formed during the manufacturing process, or any final product itself, or aspects of our formulations, processes for manufacture or methods of use, including combination therapy or patient selection methods, the holder of any such patent may be able to block our ability to commercialize the product candidate unless we obtained a license under the applicable patent, or until such patent expires or it is finally determined to be held invalid or unenforceable. In any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and it could require us to make substantial licensing and royalty payments. In addition, there could be public announcements of the results of hearings, motions or other interim proceedings or developments. If securities analysts or investors perceive these results to be negative, it could have a material adverse effect on the price of our common stock. Any of the foregoing events could harm our business, financial condition, results of operations and prospects.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Parties making claims against us may seek and obtain injunctive or other equitable relief, which could effectively block our ability to further develop and commercialize our product candidates. Defense of these claims, regardless of their merit, could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product candidates. We may fail to obtain any of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licenses at a reasonable cost or on reasonable terms, if at all. In that event, we would be unable to further develop and commercialize our product candidates. Any of the foregoing events could harm our business, financial condition, results of operations and prospects.</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We may not be successful in obtaining or maintaining necessary rights to product components and processes for our development pipeline through acquisitions and in-licenses.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Because additional product candidates may require the use of proprietary rights held by third parties, the growth of our business will likely depend in part on our ability to acquire, in-license or use these proprietary rights. In addition, while we have certain patent rights directed to certain TCR constructs, we may not be able to obtain intellectual property to broad T cell or TCR constructs.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Our product candidates may also require specific formulations to work effectively and efficiently and rights to these formulations may be held by others. Similarly, efficient production or delivery of our product candidates may also require specific compositions or methods, and the rights to these may be owned by third parties. We may be unable to acquire or in-license any formulations, compositions, methods of use, processes or other third-party intellectual property rights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 Moreover, the specific antibodies that will be used with our product candidates may be covered by the intellectual property rights of others.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Additionally, we may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licensing and acquisition of third-party intellectual property rights is a competitive area,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We may eventually become involved in lawsuits to protect or enforce our intellectual property and proprietary rights, including any patents that we or our licensors may obtain in the future, which could be expensive, time-consuming and unsuccessful.</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the future, competitors or other third parties may infringe any patents that we or our licensors may obtain. To counter any such future infringement or unauthorized use, we may eventually be required to file infringement claims, which can be expensive and time-consuming. Any claims we assert against perceived infringers could provoke these parties to assert counterclaims against us alleging that we infringe their patents or that our licensors’ patents are invalid or unenforceable. In addition, in a patent infringement proceeding, a court may decide that one or more patents that we may obtain in the future is not valid or is unenforceable, in whole or in part, construe the patent’s claims narrowly or may refuse to stop the other party from using the technology at issue on the grounds that such patents, if any, do not cover the technology in question. An adverse result in any litigation or defense proceedings could put one or more of such patents, if any, at risk of being invalidated, held unenforceable, or interpreted narrowly and could put our patent applications at risk of not issuing. Asserting any patent rights we may obtain in the future, and defending challenges to our rights, regardless of their merit, would involve substantial litigation expense and would be a substantial diversion of employee resources from our business and we may find it impractical or undesirable to enforce our intellectual property against some third parties.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Post-grant, interference or derivation proceedings provoked by third parties or brought by us or declared by the USPTO may be necessary to determine the validity or priority of inventions with respect to our or our licensors’ patent applications or any patents that may issue therefrom. An unfavorable outcome could result in a loss of any patent rights we may have. Furthermore, because of the substantial amount of discovery required in connection with intellectual property litigation, there is a risk that some of our confidential information could be compromised by disclosure during this type of litigation or proceeding. In addition, there could be public announcements of the results of hearings, motions or other interim proceedings or developments. If securities analysts or investors perceive these results to be negative, it could have a material adverse effect on the price of our common stock. Any of the foregoing events could harm our business, financial condition, results of operations and prospects.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procedures, document submission, fee payments and other requirements imposed by governmental patent agencies, and our patent protection could be reduced or eliminated for non-compliance with these requirements.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Some of our patent applications may be allowed in the future. We cannot be certain that an allowed patent application will become an issued patent. There may be events that cause withdrawal of the allowance of a patent application. For example, after a patent application has been allowed, but prior to being issued, material that could be relevant to patentability may be identified. In such circumstances, the applicant may pull the application from allowance in order for the USPTO or foreign patent agency to review the application in view of the new material. In that circumstance, the USPTO or the other agency may not re-allow an application in view of the new material. Further, periodic maintenance fees, renewal fees, annuity fees and various other governmental fees on patents and/or patent applications will be due to be paid to the USPTO and foreign patent agencies at several stages over the lifetime of the patents and/or patent applications. The USPTO and various foreign governmental patent agencies also require compliance with a number of procedural, documentary and other similar provisions during the patent application process and following the issuance of a patent. We also may be dependent on our licensors to take the necessary action to comply with these requirements with respect to our licensed intellectual property.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and other third parties might be able to enter the market without infringing our or our licensors’ patents and patent applications, which could have a material adverse effect on our business, financial condition, results of operations and prospects.</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If we obtain any patents covering our product candidates, they could nonetheless be found invalid or unenforceable if challenged in court or the USPTO.</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 xml:space="preserve">The issuance of a patent is not conclusive as to its inventorship, scope, validity or enforceability. Our owned or in-licensed patents, and any of our owned or in-licensed patent applications that may issue in the future, may be challenged at the USPTO or foreign patent offices in re-examination, </w:t>
      </w:r>
      <w:r>
        <w:rPr>
          <w:rFonts w:ascii="Times New Roman" w:hAnsi="Times New Roman"/>
          <w:i/>
          <w:color w:val="000000"/>
          <w:sz w:val="20"/>
        </w:rPr>
        <w:t>inter partes</w:t>
      </w:r>
      <w:r>
        <w:rPr>
          <w:rFonts w:ascii="Times New Roman" w:hAnsi="Times New Roman"/>
          <w:color w:val="000000"/>
          <w:sz w:val="20"/>
        </w:rPr>
        <w:t xml:space="preserve"> review, post-grant review and equivalent proceedings in foreign jurisdictions (such as opposition proceedings). Such proceedings could result in the revocation of or amendment to such patents in such a way that they no longer cover our product candidates or technologies. If we or one of our licensing partners initiates legal proceedings against a third party to enforce a patent that we may obtain in the future covering one of our product candidates, the defendant could counterclaim that such patent is invalid and/or unenforceable. In patent litigation in the U.S., counterclaims alleging invalidity and/or unenforceability are commonplace, and there are numerous grounds upon which a third party can assert invalidity or unenforceability of a patent.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U.S. or abroad, even outside the context of litigation. Such mechanisms include re-examination, </w:t>
      </w:r>
      <w:r>
        <w:rPr>
          <w:rFonts w:ascii="Times New Roman" w:hAnsi="Times New Roman"/>
          <w:i/>
          <w:color w:val="000000"/>
          <w:sz w:val="20"/>
        </w:rPr>
        <w:t>inter partes</w:t>
      </w:r>
      <w:r>
        <w:rPr>
          <w:rFonts w:ascii="Times New Roman" w:hAnsi="Times New Roman"/>
          <w:color w:val="000000"/>
          <w:sz w:val="20"/>
        </w:rPr>
        <w:t xml:space="preserve"> review, post-grant review and equivalent proceedings in foreign jurisdictions (such as opposition proceedings). Such proceedings could result in revocation or amendment to any patents we may obtain in the future in such a way that they would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any patent protection we may eventually obtain on our product candidates and technologies. Such a loss of patent protection could have a material adverse impact on our business, financial condition, results of operations and prospects and our ability to commercialize or license our technology and product candidates.</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Changes to patent law and its interpretation in the U.S. and in foreign jurisdictions could diminish the value of patents in general and may impact the validity, scope or enforceability of our patent rights, thereby impairing our ability to protect our product candidates and technologies.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As is the case with other biotechnology companies, our success is heavily dependent on intellectual property, particularly any patents that may issue from our pending patent applications. Changes in either the patent laws or in their interpretation in any jurisdiction that we seek patent protection may diminish our ability to protect our inventions, obtain, maintain and enforce our intellectual property and proprietary rights and, more generally, may affect the value of our intellectual property and proprietary rights. The U.S. continues to adapt to wide-ranging patent reform legislation that became effective starting in 2012. Moreover, various courts, including the U.S. Supreme Court, have rendered decisions that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ways that would weaken our ability to obtain new patents or to enforce patents that we might obtain in the future. For example, in the case </w:t>
      </w:r>
      <w:r>
        <w:rPr>
          <w:rFonts w:ascii="Times New Roman" w:hAnsi="Times New Roman"/>
          <w:i/>
          <w:color w:val="000000"/>
          <w:sz w:val="20"/>
        </w:rPr>
        <w:t>Assoc. for Molecular Pathology v. Myriad Genetics, Inc.,</w:t>
      </w:r>
      <w:r>
        <w:rPr>
          <w:rFonts w:ascii="Times New Roman" w:hAnsi="Times New Roman"/>
          <w:color w:val="000000"/>
          <w:sz w:val="20"/>
        </w:rPr>
        <w:t xml:space="preserve"> the U.S. Supreme Court held that certain claims to DNA molecules are not patentable. We cannot predict how future decisions by the courts, Congress or the USPTO may impact the value of our pending patent applications. Similarly, any adverse changes in the laws and regulations governing patents in other jurisdictions could have an adverse effect on our ability to obtain and effectively enforce our patent rights and have a material adverse effect on our business and financial condition.</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We have limited foreign intellectual property rights and may not be able to protect our intellectual property rights throughout the world.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Filing, prosecuting and defending patents on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the laws in the U.S., and we may encounter difficulties in protecting and defending such rights in foreign jurisdictions. Consequently, we may not be able to prevent third parties from practicing our inventions in some or all countries outside the U.S., or from selling or importing products made using our inventions in and into the U.S. or other jurisdictions. Competitors or other third parties may use our technologies in jurisdictions where we have not obtained patent protection to develop their own products and further, may also export otherwise infringing products to territories where we have patent protection, but enforcement is not as strong as in the U.S. These products may compete with our product candidates and our patent rights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 We will need to decide whether, and in which jurisdictions, to pursue protection for the various inventions in our portfolio prior to applicable filing deadlines.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and biotechnology, which could make it difficult for us to stop the infringement, misappropriation or other violation of our intellectual property rights, including any infringement of any patents we may obtain in the future in such countries, or marketing of competing products in violation of our proprietary rights generally. Proceedings to enforce any patent rights in foreign jurisdictions could result in substantial costs and divert our efforts and attention from other aspects of our business, could put our patent applications at risk of not issuing, any patent rights at risk of being invalidated or interpreted narrowly and could provoke third parties to assert claims against us. We may not prevail in any lawsuits that we initiate, and the damages or other remedies awarded, if any, may not be commercially meaningful. Accordingly, our efforts to establish our intellectual property rights around the world may be inadequate to obtain a significant commercial advantage from the intellectual property that we develop or license.</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We may be subject to claims challenging the inventorship or ownership of our patent rights and other intellectual property.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may be subject to claims that former employees, collaborators or other third parties have an interest in our intellectual property as an inventor or co-inventor. It is our policy to enter into confidentiality and intellectual property assignment agreements with our employees, consultants, and contractors. These agreements generally provide that inventions conceived by the party in the course of rendering services to us will be our exclusive property. However, such agreements may not be honored and may not effectively assign intellectual property rights to us. For instance, the assignment of intellectual property rights may not be self-executing, or the assignment agreements may be breached, and we may be forced to bring claims against current or former employees, consultants, and contractors, or defend claims that they may bring against us, to determine the ownership of what we regard as our intellectual property. Moreover, there may be circumstances where we are unable to negotiate for such ownership rights.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Disputes regarding ownership or inventorship of intellectual property can also arise in other contexts, such as collaborations and sponsored research. If we are subject to a dispute challenging our rights in or to inventions or other intellectual property, such a dispute could be expensive and time consuming. If we are unsuccessful in defending such claims, in addition to paying monetary damages, unless we are able to obtain a license, which might not be available on commercially reasonable terms or at all, we could lose valuable rights in intellectual property, such as the exclusive ownership of, or right to use, intellectual property that we regard as our own or that is important to our business. Even if we are successful in defending against such claims, litigation could result in substantial costs and be a distraction to management and other employees, and certain customers, licensors or partners may defer engaging with us until the particular dispute is resolved. Any of the foregoing could have a material adverse effect on our business, financial condition, results of operations and prospects.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We may be subject to claims that our employees, consultants or independent contractors have wrongfully used or disclosed trade secrets or other confidential information of their former employers or other third parties or claims asserting ownership of what we regard as our own intellectual property.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have received, and will continue to receive, confidential and proprietary information from third parties. In addition, we have employed and expect to continue to employ individuals who were previously employed at university or other biotechnology or pharmaceutical companies, including our competitors or potential competitors, in some cases until recently. Although we try to ensure that our employees, consultants, advisors and independent contractors do not use the proprietary information or know-how of others in their work for us, we may be subject to claims that we, our employees, advisors, consultants or independent contractors have deliberately, inadvertently or otherwise used or disclosed intellectual property, including trade secrets or other proprietary information of these former employers, competitors or other third parties, or to claims that we have improperly used or obtained such trade secrets. We may be subject to claims that we or our employees, consultants or independent contractors have inadvertently or otherwise used or disclosed confidential information of these third parties or our employees’ former employers or our consultants’ or contractors’ current or former clients or customers. Litigation may be necessary to defend against these claims. Even if we are successful in defending against these claims, litigation could result in substantial costs and be a distraction to our management and employees. If we are not successful in defending such claims, in addition to paying monetary damages, we could lose access or exclusive access to valuable intellectual property rights and face increased competition to our business. Any of the foregoing could harm our business, financial condition, results of operations and prospects.</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We may be subject to claims, and damages resulting from claims, that we or our employees have wrongfully used or disclosed alleged trade secrets of our competitors or are in breach of non-competition or non-solicitation agreements with our competitors.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Many of our employees were previously employed at universities or other biotechnology or pharmaceutical companies, including our competitors or potential competitors, in some cases until recently. We may be subject to claims that we or our employees have inadvertently or otherwise used or disclosed trade secrets or other proprietary information belonging to these former employers or competitors. In addition, we have been and may in the future be subject to claims that we caused an employee to breach the terms of his or her non-competition or non-solicitation agreement. Litigation may be necessary to defend against these claims. Even if we are successful in defending against these claims, litigation could result in substantial costs and could be a distraction to management. If our defense to those claims fails, in addition to paying monetary damages, we may lose valuable intellectual property rights or personnel. Any litigation or the threat thereof may adversely affect our ability to hire employees. A loss of key personnel or their work product could hamper or prevent our ability to commercialize product candidates or potential products, which could have an adverse effect on our business, results of operations, financial condition and prospects.</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Patent terms may be inadequate to protect our competitive position on our product candidates for an adequate amount of time. If we do not obtain patent term extension and data exclusivity for any of our current or future product candidates, our business may be materially harmed.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Depending upon the timing, duration, conditions and specifics of any FDA marketing approval of any of our current or future product candidates that we may receive, one or more U.S. patents that we may obtain in the future may be eligible for limited patent term extension under the Drug Price Competition and Patent Term Restoration Act of 1984 (Hatch-Waxman Amendments) and one or more of our foreign patent rights may be eligible for patent term extension under similar legislation, for example, in the EU. In the U.S., the Hatch-Waxman Amendments permit a patent extension term of up to five years as compensation for effective patent term lost during product development and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there are no assurances that the FDA or any comparable foreign regulatory authority or national patent office will grant such extensions, in whole or in part. For example, we may not be granted an extension if we fail to exercise due diligence during the testing phase or regulatory review process, fail to apply within applicable deadlines, fail to apply prior to the expiration of relevant patents, or otherwise fail to satisfy other applicable requirements. Moreover, the applicable time period or the scope of patent protection afforded could be less than we request. If we are unable to obtain patent term extension or term of any such extension is less than we request, the period during which we can enforce our patent rights for the applicable product candidate will be shortened, and our competitors or other third parties may obtain approval to market competing products following expiration of any patents that we may obtain in the future, and our business, financial condition, results of operations, and prospects could be materially harmed.</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If our trademarks are not adequately protected, then we may not be able to build name recognition in our markets of interest and our business may be adversely affected.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rely on both registered and common law protection for our trademarks for use in connection with our product candidates and services in various countries. These trademarks may not afford adequate protection. Our trademark applications may be provisionally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or ultimately refused by the USPTO or the trademark agencies of other countries, or such applications may be challenged by others. We also may not have the financial resources to enforce the rights under these trademarks, which may enable others to use the trademarks and dilute their value. Our trademarks may be challenged, infringed, circumvented or declared generic or determined to be infringing the trademarks of others. In such a case, we may not be able to protect or derive any value from such trademarks or may be required to cease using a conflicting mark entirely. The value of our trademarks may also be diminished by our own actions, such as failing to impose appropriate quality control when licensing our trademarks. Any of the foregoing could impair the value of, or ability to use, our trademarks, reduce our ability to compete effectively, and have an adverse effect on our business.</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Certain of our in-licensed patent rights are, and our future owned and in-licensed patent rights may be, subject to a reservation of rights by one or more third parties, including government march-in rights with regards to certain patents, that may limit our ability to exclude third parties from commercializing product candidates similar or identical to ours.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Certain of our in-licensed patent rights may be subject to a reservation of rights by one or more third parties. Pursuant to the Bayh-Dole Act, the U.S. government has march-in rights with regards to government-funded technology. For example, the U.S. government has certain rights, including march-in rights, to patent rights and technology funded by the U.S. government and licensed to us from BWH. When new technologies are developed with government funding, in order to secure ownership of such patent rights, the recipient of such funding is required to comply with certain government regulations, including timely disclosing the inventions claimed in such patent rights to the U.S. government and timely electing title to such inventions. Any failure to timely elect title to such inventions may provide the U.S. government with the right to, at any time, take title to such inventions. Additionally, the U.S. government generally obtains certain rights in any resulting patents, including a non-exclusive license authorizing the government to use the invention or to have others use the invention on its behalf. If the government decides to exercise these rights, it is not required to engage us as its contractor in connection with doing so. These rights may permit the U.S. government to disclose our confidential information to third parties and to exercise march-in rights to use or allow third parties to use our licensed technology. The U.S.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U.S. Any exercise by the government of any of the foregoing rights could harm our competitive position, business, financial condition, results of operations, and prospects.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Our Reliance on Third Parties</w:t>
      </w:r>
    </w:p>
    <w:p>
      <w:pPr>
        <w:pStyle w:val="TextBody"/>
        <w:bidi w:val="0"/>
        <w:spacing w:before="120" w:after="283"/>
        <w:ind w:left="490" w:right="0" w:hanging="0"/>
        <w:jc w:val="both"/>
        <w:rPr>
          <w:rFonts w:ascii="Times New Roman" w:hAnsi="Times New Roman"/>
          <w:b/>
          <w:i/>
          <w:color w:val="000000"/>
          <w:sz w:val="20"/>
        </w:rPr>
      </w:pPr>
      <w:r>
        <w:rPr>
          <w:rFonts w:ascii="Times New Roman" w:hAnsi="Times New Roman"/>
          <w:b/>
          <w:i/>
          <w:color w:val="000000"/>
          <w:sz w:val="20"/>
        </w:rPr>
        <w:t>We rely on third parties to help us conduct our clinical trials. If these third parties do not properly and successfully carry out their contractual duties or meet expected deadlines, we may not be able to obtain regulatory approval of or commercialize our product candidates.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utilize and depend upon independent investigators and collaborators, such as medical institutions, CROs, CDMOs and strategic partners to help us conduct our preclinical studies and clinical trials under agreements with us. We have and expect to have to negotiate budgets and contracts with CROs, trial sites and CDMOs which may result in delays to our development timelines and increased costs. We will rely heavily on these third parties over the course of our clinical trials, and we control only certain aspects of their activities. As a result, we will have less direct control over the conduct, timing and completion of these clinical trials and the management of data developed through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GCPs, which are regulations and guidelines enforced by the FDA and comparable foreign regulatory authorities for product candidates in clinical development. Regulatory authorities enforce these GCPs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provide assurance that, upon inspection, such regulatory authorities will determine that any of our clinical trials comply with the GCP regulations. In addition, our clinical trials must be conducted with biologic product produced under cGMP regulations, including cGTP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Any third parties conducting our clinical trials are not and will not be our employees and, except for remedies available to us under our agreements with such third parties, we cannot control whether or not they devote sufficient time and resources to our ongoing, clinical and non-clinical product candidates. These third parties may also have relationships with other commercial entities, including our competitors, for whom they may also be conducting clinical trials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Switching or adding third parties to conduct our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We have in the past and may in the future form or seek collaborations or strategic alliances or enter into additional licensing arrangements in the future, and we may not realize the benefits of such collaborations, alliances or licensing arrangements.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have in the past and may in the future form or seek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potency and purity and obtain marketing approval.</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Further, collaborations involving our product candidates are subject to numerous risks, which may include the following: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a collaboration;</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not perform their obligations as expected;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delay clinical trials, provide insufficient funding for a clinical trial, stop a clinical trial, abandon a product candidate, repeat or conduct new clinical trials or require a new formulation of a product candidate for clinical testing;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our product candidates;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collaborator with marketing and distribution rights to one or more products may not commit sufficient resources to their marketing and distribution;</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not properly maintain or defend our intellectual property or proprietary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and type of our collaborations could adversely affect our attractiveness to future collaborators or acquirers;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may be conflicts between different collaborators that could negatively affect those collaborations and potentially others;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to pursue further development or commercialization of the applicable product candidates;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own or co-own intellectual property covering our product candidates that results from our collaborating with them, and in such cases, we would not have the exclusive right to commercialize such intellectual property.</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As a result, if we enter into additional collaboration agreements and strategic partnerships or license our product candidates, we may not be able to realize the benefit of such transactions if we are unable to successfully integrate them with our existing operations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and company culture,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Our collaboration agreements may grant our collaborators exclusive rights under certain of our intellectual property and may therefore preclude us from entering into collaborations with others relating to the same or similar compounds, therapeutic targets, indications or diseases. For example, the Amgen Agreement, to identify antigens recognized by T cells in patients with Crohn’s disease, grants Amgen options to evaluate a variety of modalities to create therapeutics based on targets discovered by us, and Amgen will retain all global development and commercialization rights. In addition, if a collaboration agreement is terminated, in whole or in part, we may be unable to continue the development and commercialization of the applicable product candidates, and even if we are able to do so, such efforts may be delayed and result in additional costs.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may in the future determine to partner with additional pharmaceutical and biotechnology companies for development and potential commercialization of therapeutic products. We face significant competition in seeking appropriate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discovery platform and our business, prospects, financial condition and results of operations may be materially and adversely affected.</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We have engaged a global third-party manufacturer to manufacture products for our clinical trials. In the future, we may rely on the use of manufacturing suites in third-party GMP facilities or third parties to manufacture our product candidates. Our business could be harmed if we are unable to use third-party manufacturing suites or if the third-party manufacturers fail to provide us with sufficient quantities of our product candidates or fail to do so at acceptable quality levels, prices, or timing.</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have manufacturing capacity at our facilities in Waltham, Massachusetts, but we have not yet manufactured our product candidates on a commercial scale and may not be able to do so for any of our product candidates.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are using third parties as part of our manufacturing process to support our clinical trials for our product candidates, and we may also use them for product candidates in the future. Our anticipated reliance on a limited number of third-party manufacturers exposes us to the following risks: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unable to identify manufacturers on acceptable terms or at all because the number of potential manufacturers is limited, and the FDA must inspect any manufacturers for current cGMP and cGTP compliance as part of our marketing application;</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new manufacturer would have to be educated in, or develop substantially equivalent processes for, the production of our product candidates;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manufacturers may have little or no experience with autologous cell products, which are products made from a patient’s own cells, and therefore may require a significant amount of support from us in order to implement and maintain the infrastructure and processes required to manufacture our product candidates;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third-party manufacturers might be unable to timely manufacture our product candidates or produce the quantity and quality required to meet our clinical and commercial needs, if any;</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third-party suppliers or collaborators from whom we receive our antibodies used in combination with our product candidates may be unable to timely manufacture or provide the applicable antibody or produce the quantity and quality required to meet our clinical and commercial needs;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contract manufacturers may not be able to execute our manufacturing procedures and other logistical support requirements appropriately;</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future contract manufacturers may not perform as agreed, may not devote sufficient resources to our product candidates or may not remain in the contract manufacturing business for the time required to supply our clinical trials or to successfully produce, store, and distribute our product, if any;</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manufacturers are subject to ongoing periodic unannounced inspection by the FDA and corresponding state agencies to ensure strict compliance with cGMP, cGTP and other government regulations and corresponding foreign standards. We do not have control over third-party manufacturers’ compliance with these regulations and standards;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own, or may have to share, the intellectual property rights to any improvements made by our third-party manufacturers in the manufacturing process for our product candidates;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third-party manufacturers could breach or terminate their agreements with us;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raw materials and components used in the manufacturing process, particularly those for which we have no other source or supplier, may not be available or may not be suitable or acceptable for use due to material or component defects;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contract manufacturers and critical reagent suppliers may be subject to inclement weather, as well as natural or man-made disasters;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contract manufacturers may have unacceptable or inconsistent product quality success rates and yields, and we have no direct control over our contract manufacturers’ ability to maintain adequate quality control, quality assurance and qualified personnel;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contract manufacturers may be adversely affected by the geopolitical and economic tensions in the Middle East and with China, the ongoing conflicts between Russia and Ukraine, political unrest in countries where we or our partners operate, earthquakes, flooding, fires, and other natural or man-made disasters, equipment failures, labor shortages, power failures, and numerous other factors.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Each of these risks could delay or prevent the completion of our clinical trials or the approval of any of our product candidates by the FDA, result in higher costs or adversely impact commercialization of our product candidates. In addition, we will rely on third parties to perform certain specification tests on our product candidates prior to delivery to patients. If these tests are not appropriately done and test data are not reliable, patients could be put at risk of serious harm and the FDA could place significant restrictions on our Company until deficiencies are remedied.</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manufacture of cellular-based drug products is complex and requires significant expertise and capital investment, including the development of advanced manufacturing techniques and process controls. Manufacturers of such products often encounter difficulties in production, particularly in scaling up or out, validating the production process and assuring high reliability of the manufacturing process (including the absence of contamination). These problems include logistics and shipping, difficulties with production costs and yields, quality control, including stability of the product, intermediates, or raw materials, product testing, operator error and availability of qualified personnel, as well as compliance with strictly enforced federal, state and foreign regulations.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if contaminants are discovered in our supply of our product candidates or in the manufacturing facilities, such manufacturing facilities may need to be closed for an extended period of time to investigate and remedy the contamination. We cannot provide assurance that any stability failures or other issues relating to the manufacture of our product candidates will not occur in the future.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may fail to manage the logistics of collecting and shipping patient material to our manufacturing site (or that of any third party we engage) and shipping the product candidate back to the patient. Logistical and shipment delays and problems caused by us, our vendors or other factors not in our control, such as weather, could prevent or delay the delivery of product candidates to patients. Additionally, we have to maintain a complex chain of identity and chain of custody with respect to patient material as it moves to the manufacturing facility, through the manufacturing process and back to the patient. Failure to maintain chain of identity and chain of custody could result in patient death, loss of product or regulatory action.</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Our product candidates rely on the availability of specialty materials, which may not be available to us on acceptable terms or at all.</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product candidates require specialty materials, some of which are manufactured by small companies with limited resources and experience to support a commercial product. We may not be able to contract with suppliers on acceptable terms or at all. In addition, a number of our suppliers normally support blood-based hospital businesses and generally do not have the capacity to support commercial products manufactured under cGMP by biotechnology firms or may divert their resources towards hospitals rather than us. Our suppliers may be ill-equipped to support our needs, especially in non-routine circumstances like an FDA inspection or medical crisis, such as widespread contamination. We may experience delays in receiving key materials to support clinical or commercial manufacturing.</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addition, some of our raw materials are currently sourced from a single supplier, or a small number of suppliers. We also use certain biologic materials that are available from multiple suppliers, but each version may perform differently, requiring us to characterize them and potentially modify the manufacturing process if we change suppliers. We cannot be sure that these suppliers will remain in business, or that they will not be purchased by one of our competitors or another company that is not interested in continuing to produce these materials for our intended purpose. Accordingly, if we no longer have access to these suppliers, we may experience delays in our clinical or commercial manufacturing which could harm our business or results of operations.</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Our manufacturing process needs to comply with FDA or other regulatory agency regulations relating to the quality and reliability of such processes. Any failure to comply with relevant regulations could result in delays in or termination of our clinical programs and suspension or withdrawal of any regulatory approvals.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order to commercially produce our product candidates either at our own facility or at a third party’s facility, we will need to comply with the FDA’s or other regulatory agencies' cGMP regulations and guidelines, including cGTPs.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cGTP or other regulatory requirements or delay, interruption or other issues that arise in the manufacture, fill-finish, packaging, or storage of our TCR-T therapy product candidates as a result of a failure of our facilities or the facilities or operations of third parties to comply with regulatory requirements or pass any regulatory authority inspection could significantly impair our ability to develop and commercialize our TCR-T therapy product candidates, including leading to significant delays in the availability of our TCR-T therapy product candidates for our clinical trials or the termination of or suspension of a clinical trial, or the delay or prevention of a filing or approval of marketing applications for our product candidates. Significant non-compliance could also result in the imposition of sanctions, including warning or untitled letters,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our business.</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If our third-party manufacturers use hazardous and biological materials in a manner that causes injury or violates applicable law, we may be liable for damages.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Our research and development activities involve the controlled use of potentially hazardous substances, including chemical and biological materials, by our third-party manufacturers. Our manufacturing is (and any third-party manufacturers we engage are) subject to federal, state and local laws and regulations in the U.S.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Employee Matters and Managing Growth</w:t>
      </w:r>
    </w:p>
    <w:p>
      <w:pPr>
        <w:pStyle w:val="TextBody"/>
        <w:bidi w:val="0"/>
        <w:spacing w:before="120" w:after="283"/>
        <w:ind w:left="490" w:right="0" w:hanging="0"/>
        <w:jc w:val="both"/>
        <w:rPr>
          <w:rFonts w:ascii="Times New Roman" w:hAnsi="Times New Roman"/>
          <w:b/>
          <w:i/>
          <w:color w:val="000000"/>
          <w:sz w:val="20"/>
        </w:rPr>
      </w:pPr>
      <w:r>
        <w:rPr>
          <w:rFonts w:ascii="Times New Roman" w:hAnsi="Times New Roman"/>
          <w:b/>
          <w:i/>
          <w:color w:val="000000"/>
          <w:sz w:val="20"/>
        </w:rPr>
        <w:t>We are highly dependent on our key personnel, and if we are not successful in attracting and retaining highly qualified personnel, we may not be able to successfully implement our business strategy.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ability to compete in the highly competitive biotechnology and pharmaceutical industries depends upon our ability to attract and retain highly qualified managerial, scientific and medical personnel. We are highly dependent on our management, scientific and medical personnel. The loss of the services of any of our executive officers, other key employees and other scientific and medical advisors, and an inability to find suitable replacements could result in delays in product development and harm our business. In addition, on November 3, 2025, we announced a prioritization strategy that reduced our workforce by approximately 30%, which may adversely impact our ability to retain or recruit key personnel.</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conduct our operations at our facility in Waltham, Massachusetts. This region is headquarters to many other biotechnology companies and many academic and research institutions. Competition for skilled personnel in our market is intense and may limit our ability to hire and retain highly qualified personnel on acceptable terms or at all. Changes to U.S. immigration and work authorization laws and regulations, including those that restrain the flow of scientific and professional talent, can be significantly affected by political forces and levels of economic activity. Our business may be materially adversely affected if legislative or administrative changes to immigration or visa laws and regulations, including as a result of the change in the U.S. presidential administration, impair our hiring processes and goals or projects involving personnel who are not U.S. citizens.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To encourage valuable employees to remain at our Company, in addition to salary and cash incentives, we have provided stock options that vest over time. The value to employees of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Although we have employment agreements with our key employees, these employment agreements provide for at-will employment, which means that any of our employees could leave our employment at any time, with or without notice. Our success also depends on our ability to continue to attract, retain and motivate highly skilled junior, mid-level and senior managers as well as junior, mid-level and senior scientific and medical personnel.</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We will need to grow the size of our organization, and we may experience difficulties in managing this growth.</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As of August 7, 2026, we had 138 full-time employees. As our development and commercialization plans and strategies develop, and as we continue operating as a public company, we expect to need additional managerial, operational, sales, marketing, financial and other personnel, as well as additional facilities to expand our operations. Future growth would impose significant added responsibilities on members of management, including: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identifying, recruiting, integrating, maintaining and motivating additional employees;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managing our internal development efforts effectively, including the clinical and FDA review process for our product candidates, while complying with our contractual obligations to contractors and other third parties;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improving our operational, financial and management controls, reporting systems and procedures.</w:t>
      </w:r>
    </w:p>
    <w:p>
      <w:pPr>
        <w:pStyle w:val="TextBody"/>
        <w:bidi w:val="0"/>
        <w:jc w:val="both"/>
        <w:rPr/>
      </w:pPr>
      <w:r>
        <w:rPr/>
        <w:t> </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pStyle w:val="TextBody"/>
        <w:bidi w:val="0"/>
        <w:ind w:left="0" w:right="0" w:firstLine="720"/>
        <w:jc w:val="both"/>
        <w:rPr/>
      </w:pPr>
      <w:r>
        <w:rPr/>
        <w:t> </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We currently rely, and for the foreseeable future will continue to rely, in substantial part on certain independent organizations, advisors and consultants to provide certain services, including substantially all aspects of regulatory approval, and clinical trial management. 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or at all.</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 xml:space="preserve">If we are not able to effectively expand our organization by hiring new employees and expanding our groups of consultants and contractors, or we are not able to effectively build out new facilities to accommodate this expansion, we may not be able to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successfully implement the tasks necessary to further develop and commercialize our product candidates and, accordingly, may not achieve our research, development and commercialization goals.</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If product liability lawsuits are brought against us, we may incur substantial liabilities and may be required to limit commercialization of our product candidates.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face an inherent risk of product liability as a result of the planned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decreased demand for our product candidates or products that we may develop;</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injury to our reputation;</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withdrawal of clinical trial participants;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initiation of investigations by regulators;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to defend the related litigation;</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diversion of management’s time and our resources;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substantial monetary awards to trial participants or patients;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recalls, withdrawals or labeling, marketing or promotional restrictions;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of revenue;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exhaustion of any available insurance and our capital resources;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inability to commercialize any product candidate;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decline in our share price.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Failure to obtain or retain sufficient product liability insurance at an acceptable cost to protect against potential product liability claims could prevent or inhibit the commercialization of products we develop, alone or with corporate collaborators.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pStyle w:val="TextBody"/>
        <w:bidi w:val="0"/>
        <w:spacing w:before="120" w:after="283"/>
        <w:ind w:left="490" w:right="0" w:hanging="0"/>
        <w:jc w:val="both"/>
        <w:rPr>
          <w:rFonts w:ascii="Times New Roman" w:hAnsi="Times New Roman"/>
          <w:b/>
          <w:i/>
          <w:color w:val="000000"/>
          <w:sz w:val="20"/>
        </w:rPr>
      </w:pPr>
      <w:r>
        <w:rPr>
          <w:rFonts w:ascii="Times New Roman" w:hAnsi="Times New Roman"/>
          <w:b/>
          <w:i/>
          <w:color w:val="000000"/>
          <w:sz w:val="20"/>
        </w:rPr>
        <w:t>Our ability to utilize our net operating loss carryforwards and certain other tax attributes may be limited.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Under Sections 382 and 383 of the Internal Revenue Code of 1986 (IRC), as amended, if a corporation undergoes an “ownership change” (generally defined as one or more shareholders or groups of shareholders who own at least 5 percent of the corporation’s equity increasing their equity ownership in the aggregate by a greater than 50 percentage point change (by value) over a three-year period), the corporation’s ability to use its pre-change net operating loss carryforwards and other pre-change tax attributes to offset its post-change taxable income may be limited. As a result of our public offerings, our most recent private placements and other transactions that have occurred over the past three years, we have experienced, such an “ownership change.” We may also experience ownership changes in the future as a result of subsequent shifts in our stock ownership or other transactions. As of December 31, 2025, we had U.S. federal net operating loss carryforwards of $174.7 million and U.S. federal research and development tax credit carryforwards of $21.8 million that expire through 2045 and which could be limited if we experience an “ownership change.” Under the current law, federal net operating loss carryforwards generated in taxable years beginning after December 31, 2017 will not be subject to expiration. However, any such net operating loss carryforwards may only offset 80% of our annual taxable income in taxable years beginning after December 31, 2020. State net operating loss carryforwards and other tax attributes may be similarly limited. Any such limitations may result in increased tax liabilities that could adversely affect our business, results of operations, financial position and cash flows.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Common Stock and Our Status as a Public Company</w:t>
      </w:r>
    </w:p>
    <w:p>
      <w:pPr>
        <w:pStyle w:val="TextBody"/>
        <w:bidi w:val="0"/>
        <w:spacing w:before="120" w:after="283"/>
        <w:ind w:left="490" w:right="0" w:hanging="0"/>
        <w:jc w:val="both"/>
        <w:rPr>
          <w:rFonts w:ascii="Times New Roman" w:hAnsi="Times New Roman"/>
          <w:b/>
          <w:i/>
          <w:color w:val="000000"/>
          <w:sz w:val="20"/>
        </w:rPr>
      </w:pPr>
      <w:r>
        <w:rPr>
          <w:rFonts w:ascii="Times New Roman" w:hAnsi="Times New Roman"/>
          <w:b/>
          <w:i/>
          <w:color w:val="000000"/>
          <w:sz w:val="20"/>
        </w:rPr>
        <w:t>We do not know whether an active trading market will continue to develop or be sustained for our common stock and, as a result, it may be difficult for our stockholders to sell their shares of our common stock.</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common stock began trading on the Nasdaq Global Market in July 2021. Prior to July 2021, there was no public market for our common stock, and we cannot assure you that an active trading market for our shares will continue to develop or be sustained. As a result, it may be difficult for our stockholders to sell their shares without depressing the market price of our common stock, or at all.</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The price of our common stock is volatile and fluctuates substantially, which could result in substantial losses for our stockholders.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stock price has been, and is likely to continue to be, volatile. The stock market in general, and the market for smaller biotechnology companies in particular, have experienced extreme price volatility and volume fluctuations that have often been unrelated to the operating performance of particular companies. As a result of this volatility, our stockholders may not be able to sell their common stock at or above the price they paid for their shares. The market price for our common stock may be influenced by many factors, including: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overall performance of the equity markets;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operating performance and the performance of other similar companies;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results from our ongoing clinical trials and future clinical trials with our current and future product candidates or of our competitors;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the commencement, enrollment and the ultimate completion of clinical trials;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our projected operating results that we provide to the public, our failure to meet these projections or changes in recommendations by securities analysts that elect to follow our common stock;</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actions with respect to our product candidates;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or legal developments in the U.S. and other countries;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level of expenses related to future product candidates or clinical development programs;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failure to achieve product development or commercialization goals or regulatory approval milestones in the timeframe we announce;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hospital or emergency care partner practices;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announcements of acquisitions, strategic alliances or significant agreements by us or by our competitors;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developments or disputes concerning intellectual property or proprietary rights;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maintain, protect and enforce our intellectual property and proprietary rights;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recruitment or departure of key personnel;</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economy as a whole and market conditions in our industry, including conditions resulting from ongoing conflicts in the Middle East and between Russia and Ukraine;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variations in our financial results or the financial results of companies that are perceived to be similar to us;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financing or other corporate transactions, or inability to obtain additional funding;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trading activity by a limited number of stockholders who together beneficially own a substantial amount of our outstanding common stock;</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expiration of market standoff or contractual lock-up agreements, as applicable;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size of our market float;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other factors described in this “Risk Factors” section.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addition, the stock markets have experienced extreme price and volume fluctuations that have affected and continue to affect the market prices of equity securities of many biotechnology companies. Stock prices of many biotechnology companies have fluctuated in a manner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If securities or industry analysts do not publish research or publish inaccurate or unfavorable research about our business, our stock price and trading volume could decline.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trading market for our common stock will depend in part on the research and reports that securities or industry analysts publish about us or our business. If no or only very few securities analysts commence coverage of us, or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Substantial amounts of our outstanding shares may be sold into the market. If there are substantial sales of shares of our common stock, the price of our common stock could decline.</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The price of our common stock could decline if there are substantial sales of our common stock, particularly sales by our directors, executive officers and significant stockholders, or if there is a large number of shares of our common stock available for sale and the market perceives that sales will occur. Shares held by directors, executive officers and their affiliates will be subject to volume limitations or other restrictions</w:t>
      </w:r>
      <w:r>
        <w:rPr>
          <w:rFonts w:ascii="Times New Roman" w:hAnsi="Times New Roman"/>
          <w:color w:val="0061FE"/>
          <w:sz w:val="20"/>
        </w:rPr>
        <w:t xml:space="preserve"> </w:t>
      </w:r>
      <w:r>
        <w:rPr>
          <w:rFonts w:ascii="Times New Roman" w:hAnsi="Times New Roman"/>
          <w:color w:val="000000"/>
          <w:sz w:val="20"/>
        </w:rPr>
        <w:t>under Rule 144 under the Securities Act of 1933, as amended (Securities Act) and various vesting agreements.</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Certain of our stockholders have rights, subject to some conditions above, to require us to file registration statements covering their shares or to include their shares in registration statements that we may file for ourselves or our stockholders. We also have registered shares of common stock that we have issued and may issue under our employee equity incentive plans. Once we register these shares, they will be able to be sold freely in the public market upon issuance.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market price of the shares of our common stock could decline as a result of the sale of a substantial number of our shares of common stock in the public market or the perception in the market that the holders of a large number of shares intend to sell their shares.</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The concentration of our stock ownership will likely limit our stockholders’ ability to influence corporate matters, including the ability to influence the outcome of director elections and other matters requiring stockholder approval.</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As of August 7, 2026, our executive officers, directors, and entities affiliated with such persons beneficially owned, in the aggregate, approximately 24% of our outstanding voting stock and approximately 29% of our outstanding common stock. As a result, these stockholders, acting together, have significant influence over all matters that require approval by our stockholders, including the election of directors and approval of significant corporate transactions. Corporate actions might be taken even if other stockholders, oppose them. This concentration of ownership may prevent or discourage unsolicited acquisition proposals or offers for our common stock that you or other stockholders may feel are in your or their best interest as one of our stockholders. This concentration of ownership might also have the effect of delaying or preventing a change of control of our Company that other stockholders may view as beneficial.</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are an “emerging growth company” as defined in the JOBS Act and we intend to take advantage of some of the exemptions from reporting requirements that are applicable to other public companies that are not emerging growth companies, including: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option to present only two years of audited financial statements, in addition to any required unaudited interim financial statements, with correspondingly reduced “Management’s Discussion and Analysis of Financial Condition and Results of Operations” disclosure;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being required to comply with the auditor attestation requirements of Section 404(b) of the Sarbanes Oxley Act;</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being required to disclose certain executive compensation-related items such as the correlation between executive compensation and performance and comparisons of the chief executive officer’s compensation to median employee compensation;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being required to submit certain executive compensation matters to stockholder advisory votes, such as “say-on-pay,” “say-on-frequency,” and “say-on-golden parachutes.”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JOBS Act permits an “emerging growth company” such as us to take advantage of an extended transition period to comply with new or revised accounting standards applicable to public companies. We have elected to take advantage of this extended transition period.</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would cease to be an emerging growth company on the date that is the earliest of (i) the last day of the fiscal year in which we have total annual gross revenue of $1.235 billion or more; (ii) December 31, 2026; (iii) the date on which we have issued more than $1.0 billion in nonconvertible debt during the previous three years; or (iv) the last day of the fiscal year in which we are deemed to be a large accelerated filer under the rules of the SEC, which means the market value of our voting and non-voting common stock that is held by non-affiliates exceeds $700 million as of the prior June 30th.</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Even after we no longer qualify as an emerging growth company, we may still qualify as a “smaller reporting company,” which would allow us to continue to take advantage of many of the same exemptions from disclosure requirements, including not being required to comply with the auditor attestation requirements of Section 404 of the Sarbanes-Oxley Act, as amended (Sarbanes-Oxley Act)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Requirements associated with being a public company will increase our costs significantly, as well as divert significant company resources and management attention.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As a public company, and particularly after we are no longer an “emerging growth company,” we will incur significant legal, accounting and other expenses that we did not incur as a private company, including costs associated with public company reporting requirements. We also anticipate that we will incur costs associated with relatively recently adopted corporate governance requirements, including requirements of the SEC, and the Nasdaq Global Market. We expect these rules and regulations to increase our legal and financial compliance costs and to make some activities more time-consuming and costly. We also expect that these rules and regulations may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or as executive officers.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ind w:left="490" w:right="0" w:hanging="0"/>
        <w:jc w:val="both"/>
        <w:rPr>
          <w:rFonts w:ascii="Times New Roman" w:hAnsi="Times New Roman"/>
          <w:sz w:val="20"/>
        </w:rPr>
      </w:pPr>
      <w:r>
        <w:rPr>
          <w:rFonts w:ascii="Times New Roman" w:hAnsi="Times New Roman"/>
          <w:b/>
          <w:i/>
          <w:color w:val="000000"/>
          <w:sz w:val="20"/>
        </w:rPr>
        <w:t>If we fail to maintain proper and effective internal controls, our ability to produce accurate and timely financial statements could be impaired, which could result in sanctions or other penalties that would harm our business.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are required to disclose changes made in our internal controls and procedures on a quarterly basis and our management will be required to assess the effectiveness of these controls annually. However, for as long as we are an “emerging growth company” under JOBS Act, our independent registered public accounting firm will not be required to attest to the effectiveness of our internal controls over financial reporting pursuant to the Sarbanes-Oxley Act. We would cease to be an emerging growth company on the date that is the earliest of (i) the last day of the fiscal year in which we have total annual gross revenue of $1.235 billion or more; (ii) December 31, 2026; (iii) the date on which we have issued more than $1.0 billion in nonconvertible debt during the previous three years; or (iv) the last day of the fiscal year in which we are deemed to be a large accelerated filer under the rules of the SEC, which means the market value of our voting and non-voting common stock that is held by non-affiliates exceeds $700 million as of the prior June 30th. An independent assessment of the effectiveness of our internal controls over financial reporting could detect problems that our management’s assessment might not. Undetected material weaknesses in our internal controls over financial reporting could lead to financial statement restatements and require us to incur the expense of remediation.</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We will have broad discretion in the use of our cash and cash equivalents and may not use them effectively.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will have broad discretion in the application of our cash and cash equivalents, including working capital and other general corporate purposes, and our stockholders may disagree with how we spend or invest these proceeds. We may spend our funds in ways that do not improve our results of operations or enhance the value of our common stock. The failure by our management to apply these funds effectively could adversely affect our business and financial condition. Pending their use, we may invest our cash and cash equivalents in a manner that does not produce income or that loses value. These investments may not yield a favorable return to our stockholders. </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We do not intend to pay dividends for the foreseeable future.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have never declared nor paid cash dividends on our capital stock. We currently intend to retain any future earnings to finance the operation and expansion of our business, and we do not expect to declare or pay any dividends in the foreseeable future. Consequently, stockholders must rely on sales of their common stock after price appreciation, which may never occur, as the only way to realize any future gains on their investment.</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Our operating results may fluctuate significantly, which makes our future operating results difficult to predict and could cause our operating results to fall below expectations or our guidance.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quarterly and annual operating results may fluctuate significantly in the future, which makes it difficult for us to predict our future operating results. Our operating results may fluctuate due to a variety of factors, many of which are outside of our control and may be difficult to predict, including the following: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success or failure of clinical trials for our product candidates or competing product candidates, including the nature of the data obtained from such clinical trials, or any other change in the competitive landscape of our industry, including consolidation among our competitors or partners;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successfully recruit patients for preclinical studies and clinical trials, and any delays caused by difficulties in such recruitment efforts;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regulatory approval for our product candidates, and the timing and scope of any such approvals we may receive;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cost of, and level of investment in, research and development activities relating to our product candidates, which may change from time to time;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manufacturing our product candidates, which may vary depending on the quantity of production and the terms of our agreements with manufacturers;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attract, hire and retain qualified personnel;</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expenditures that we will or may incur to develop additional product candidates;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level of demand for our product candidates should they receive approval, which may vary significantly;</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risk/benefit profile, cost and reimbursement policies with respect to our product candidates, if approved, and existing and potential future drugs that compete with our product candidates;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changing and volatile U.S., European and global economic environments; and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future accounting pronouncements or changes in our accounting policies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Delaware law and provisions in our amended and restated certificate of incorporation and amended and restated bylaws could make a merger, tender offer or proxy contest difficult, thereby depressing the trading price of our common stock.</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classified board of directors with three-year staggered terms, which could delay the ability of stockholders to change the membership of a majority of our board of directors;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prohibition on stockholder action by written consent, which forces stockholder action to be taken at an annual or special meeting of our stockholders;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requirement for the affirmative vote of holders of at least 66-2/3% of the voting power of all of the then-outstanding shares of the voting stock, voting together as a single class, to amend the provisions of our amended and restated certificate of incorporation or our amended and restated bylaws, which may inhibit the ability of an acquiror to effect such amendments to facilitate an unsolicited takeover attempt;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stockholders to realize value in a corporate transaction.</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Our amended and restated certificate of incorporation provides that the Court of Chancery of the State of Delaware and the federal district courts of the U.S. is the exclusive forum for substantially all disputes between us and our stockholders, which could limit our stockholders’ ability to obtain a favorable judicial forum for disputes with us or our directors, officers or employees.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certificate of incorporation or our bylaws or any action asserting a claim against us that is governed by the internal affairs doctrine. This provision does not apply to claims brought to enforce a duty or liability created by the Exchange Act or any other claim for which the federal courts have exclusive jurisdiction. Our amended and restated certificate of incorporation provides further that the federal district courts of the U.S. is the exclusive forum for resolving any complaint asserting a cause of action arising under the Securities Act. These choices of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exclusive-forum provision contained in our amended and restated certificate of incorporation to be inapplicable or unenforceable in an action, we may incur additional costs associated with resolving such action in other jurisdictions, which could harm our business.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ind w:left="0" w:right="0" w:firstLine="490"/>
        <w:jc w:val="both"/>
        <w:rPr>
          <w:rFonts w:ascii="Times New Roman" w:hAnsi="Times New Roman"/>
          <w:b/>
          <w:i/>
          <w:color w:val="000000"/>
          <w:sz w:val="20"/>
        </w:rPr>
      </w:pPr>
      <w:r>
        <w:rPr>
          <w:rFonts w:ascii="Times New Roman" w:hAnsi="Times New Roman"/>
          <w:b/>
          <w:i/>
          <w:color w:val="000000"/>
          <w:sz w:val="20"/>
        </w:rPr>
        <w:t>Changes in tax legislation could adversely affect our business and financial condition.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rules dealing with U.S. federal, state, and local and non-U.S. taxation are constantly under review by persons involved in the legislative process and by the Internal Revenue Service and the U.S. Treasury Department and other taxing authorities. For example, the OBBBA was signed into law on July 4, 2025 and made significant changes to the U.S. federal tax law. Changes to tax laws or tax rulings (which changes may have retroactive application) could adversely affect us or holders of our common stock. In recent years, many such changes have been made and changes are likely to continue to occur in the future. For example, under Section 174 of the IRC, in taxable years beginning after December 31, 2021, expenses that are incurred for research and development performed outside the U.S. will be capitalized and amortized. The OBBBA provides that for taxable years beginning after December 31, 2024, expenses that are incurred for research and development performed in the U.S. may, at the taxpayer’s election, be immediately deducted or capitalized and amortized. In addition, the OBBBA provides that for taxable years beginning after December 31, 2021 and before January 1, 2025, certain eligible taxpayers generally may elect to retroactively deduct expenses for research and development performed in the U.S. in such taxable years by filing amended tax returns for such taxable years, and all other taxpayers that are not eligible to make such an election and that amortized expenses for research and development performed in the U.S.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It cannot be predicted whether, when, in what form, or with what effective dates, new tax laws may be enacted, or regulations and rulings may be promulgated or issued under existing or new tax laws, which could result in an increase in our or our shareholders’ tax liability or require changes in the manner in which we operate in order to minimize or mitigate any adverse effects of changes in tax law or in the interpretation thereof.</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ind w:left="490" w:right="0" w:hanging="0"/>
        <w:jc w:val="both"/>
        <w:rPr>
          <w:rFonts w:ascii="Times New Roman" w:hAnsi="Times New Roman"/>
          <w:b/>
          <w:i/>
          <w:color w:val="000000"/>
          <w:sz w:val="20"/>
        </w:rPr>
      </w:pPr>
      <w:r>
        <w:rPr>
          <w:rFonts w:ascii="Times New Roman" w:hAnsi="Times New Roman"/>
          <w:b/>
          <w:i/>
          <w:color w:val="000000"/>
          <w:sz w:val="20"/>
        </w:rPr>
        <w:t>Rising inflation rates may result in increased operating costs and reduced liquidity, and affect our ability to access credit.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Increased inflation may result in increased operating costs (including our labor costs), reduced liquidity, and limitations on our ability to access credit or otherwise raise debt and equity capital. In addition, the U.S. Federal Reserve System has repeatedly raised, and may continue to raise, interest rates in response to concerns about inflation. Increases in interest rates, especially if coupled with reduced government spending and volatility in financial markets, may have the effect of further increasing economic uncertainty and heightening these risks.</w:t>
      </w:r>
    </w:p>
    <w:p>
      <w:pPr>
        <w:pStyle w:val="TextBody"/>
        <w:bidi w:val="0"/>
        <w:spacing w:before="360" w:after="283"/>
        <w:ind w:left="0" w:right="0" w:firstLine="490"/>
        <w:jc w:val="both"/>
        <w:rPr>
          <w:rFonts w:ascii="Times New Roman" w:hAnsi="Times New Roman"/>
          <w:b/>
          <w:i/>
          <w:color w:val="000000"/>
          <w:sz w:val="20"/>
        </w:rPr>
      </w:pPr>
      <w:r>
        <w:rPr>
          <w:rFonts w:ascii="Times New Roman" w:hAnsi="Times New Roman"/>
          <w:b/>
          <w:i/>
          <w:color w:val="000000"/>
          <w:sz w:val="20"/>
        </w:rPr>
        <w:t>We could be subject to securities class action litigation.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the past, securities class action litigation has often been brought against a company following a decline in the market price of its securities. This risk is especially relevant for us because biotechnology companies have experienced significant stock price volatility in recent years. If we face such litigation, it could result in substantial costs and a diversion of management’s attention and resources, which could harm our business.</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Business disruptions could seriously harm our future revenue and financial condition and increase our costs and expenses.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Our operations, and those of our CROs, CDMOs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Our ability to obtain clinical supplies of our product candidates could be disrupted if the operations of these suppliers are affected by a man-made or natural disaster or other business interruption.</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Recent Sale of Unregistered Equity Securities</w:t>
      </w:r>
    </w:p>
    <w:p>
      <w:pPr>
        <w:pStyle w:val="TextBody"/>
        <w:bidi w:val="0"/>
        <w:spacing w:before="120" w:after="283"/>
        <w:ind w:left="490" w:right="0" w:hanging="0"/>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Use of Proceeds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July 2021, our Registration Statement on Form S-1/A (No. 333-255491) was declared effective by the SEC pursuant to which we issued and sold an aggregate of 6,666,667 shares of Voting Common Stock at a public offering price of $15.00 per share for aggregate net cash proceeds of $89.6 million, after deducting $7.0 million underwriting discounts and commissions, and $3.4 million in offering costs borne by us. No payments for such expenses were made directly or indirectly to (i) any of our officers or directors or their associates, (ii) any persons owning 10% or more of any class of our equity securities or (iii) any of our affiliates. The sale and issuance of 6,666,667 shares closed on July 20, 2021. Morgan Stanley &amp; Co. LLC, Jefferies LLC, Cowen and Company LLC and Barclays Capital Inc. acted as joint book-running managers for the offering. There has been no material change in the planned use of proceeds from our initial public offering as described in our final prospectus filed pursuant to Rule 424(b)(4) under the Securities Act with the SEC.</w:t>
      </w:r>
    </w:p>
    <w:p>
      <w:pPr>
        <w:pStyle w:val="TextBody"/>
        <w:bidi w:val="0"/>
        <w:spacing w:before="360" w:after="283"/>
        <w:jc w:val="both"/>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both"/>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ind w:left="490" w:right="0" w:hanging="0"/>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both"/>
        <w:rPr>
          <w:rFonts w:ascii="Times New Roman" w:hAnsi="Times New Roman"/>
          <w:b/>
          <w:color w:val="000000"/>
          <w:sz w:val="20"/>
        </w:rPr>
      </w:pPr>
      <w:bookmarkStart w:id="18" w:name="item_5_or_information"/>
      <w:bookmarkEnd w:id="18"/>
      <w:r>
        <w:rPr>
          <w:rFonts w:ascii="Times New Roman" w:hAnsi="Times New Roman"/>
          <w:b/>
          <w:color w:val="000000"/>
          <w:sz w:val="20"/>
        </w:rPr>
        <w:t>Item 5. Other Information.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None of the Company’s directors or officers (as defined in Rule 16a-1(f) of the Securities Exchange Act of 1934) adopted, modified or terminated a Rule 10b5-1 trading arrangement or non-Rule 10b5-1 trading arrangement (as such terms are defined in Item 408 of Regulation S-K) during the three months ended June 30, 2026.</w:t>
      </w:r>
    </w:p>
    <w:p>
      <w:pPr>
        <w:pStyle w:val="TextBody"/>
        <w:bidi w:val="0"/>
        <w:spacing w:before="240" w:after="283"/>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2"/>
        <w:gridCol w:w="146"/>
        <w:gridCol w:w="9297"/>
      </w:tblGrid>
      <w:tr>
        <w:trPr/>
        <w:tc>
          <w:tcPr>
            <w:tcW w:w="7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97" w:type="dxa"/>
            <w:tcBorders/>
            <w:vAlign w:val="center"/>
          </w:tcPr>
          <w:p>
            <w:pPr>
              <w:pStyle w:val="TableContents"/>
              <w:bidi w:val="0"/>
              <w:spacing w:before="0" w:after="283"/>
              <w:jc w:val="left"/>
              <w:rPr>
                <w:sz w:val="4"/>
                <w:szCs w:val="4"/>
              </w:rPr>
            </w:pPr>
            <w:r>
              <w:rPr>
                <w:sz w:val="4"/>
                <w:szCs w:val="4"/>
              </w:rPr>
            </w:r>
          </w:p>
        </w:tc>
      </w:tr>
      <w:tr>
        <w:trPr/>
        <w:tc>
          <w:tcPr>
            <w:tcW w:w="762"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9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TScan Therapeutics, Inc. (incorporated by reference to Exhibit 3.1 to the Registrant’s Current Report on Form 8-K, filed with the Securities and Exchange Commission on July 20, 2021).</w:t>
              </w:r>
            </w:hyperlink>
          </w:p>
        </w:tc>
      </w:tr>
      <w:tr>
        <w:trPr/>
        <w:tc>
          <w:tcPr>
            <w:tcW w:w="7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Amendment to the Amended and Restated Certificate of Incorporation of TScan Therapeutics, Inc. (incorporated by reference to Exhibit 3.1 to the Registrant’s Current Report on Form 8-K, filed with the Securities and Exchange Commission on May 22, 2026).</w:t>
              </w:r>
            </w:hyperlink>
          </w:p>
        </w:tc>
      </w:tr>
      <w:tr>
        <w:trPr/>
        <w:tc>
          <w:tcPr>
            <w:tcW w:w="7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Bylaws of TScan Therapeutics, Inc. (incorporated by reference to Exhibit 3.2 to the Registrant’s Current Report on Form 8-K, filed with the Securities and Exchange Commission on July 20, 2021).</w:t>
              </w:r>
            </w:hyperlink>
          </w:p>
        </w:tc>
      </w:tr>
      <w:tr>
        <w:trPr/>
        <w:tc>
          <w:tcPr>
            <w:tcW w:w="7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crx-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crx-ex31_2.htm">
              <w:r>
                <w:rPr>
                  <w:rStyle w:val="InternetLink"/>
                  <w:rFonts w:ascii="Times New Roman" w:hAnsi="Times New Roman"/>
                  <w:color w:val="0000FF"/>
                  <w:sz w:val="20"/>
                  <w:u w:val="single"/>
                </w:rPr>
                <w:t>Certification of Principal Financial and Accounting Officer Pursuant to Rules 13a-14(a) and 15d-14(a) under the Securities Exchange Act of 1934, as Adopted Pursuant to Section 302 of the Sarbanes-Oxley Act of 2002.</w:t>
              </w:r>
            </w:hyperlink>
          </w:p>
        </w:tc>
      </w:tr>
      <w:tr>
        <w:trPr/>
        <w:tc>
          <w:tcPr>
            <w:tcW w:w="7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crx-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crx-ex32_2.htm">
              <w:r>
                <w:rPr>
                  <w:rStyle w:val="InternetLink"/>
                  <w:rFonts w:ascii="Times New Roman" w:hAnsi="Times New Roman"/>
                  <w:color w:val="0000FF"/>
                  <w:sz w:val="20"/>
                  <w:u w:val="single"/>
                </w:rPr>
                <w:t>Certification of Principal Financial and Accounting Officer Pursuant to 18 U.S.C. Section 1350, as Adopted Pursuant to Section 906 of the Sarbanes-Oxley Act of 2002.</w:t>
              </w:r>
            </w:hyperlink>
          </w:p>
        </w:tc>
      </w:tr>
      <w:tr>
        <w:trPr/>
        <w:tc>
          <w:tcPr>
            <w:tcW w:w="7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7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183" w:type="dxa"/>
        <w:jc w:val="left"/>
        <w:tblInd w:w="0" w:type="dxa"/>
        <w:tblLayout w:type="fixed"/>
        <w:tblCellMar>
          <w:top w:w="28" w:type="dxa"/>
          <w:left w:w="28" w:type="dxa"/>
          <w:bottom w:w="28" w:type="dxa"/>
          <w:right w:w="28" w:type="dxa"/>
        </w:tblCellMar>
      </w:tblPr>
      <w:tblGrid>
        <w:gridCol w:w="436"/>
        <w:gridCol w:w="146"/>
        <w:gridCol w:w="6601"/>
      </w:tblGrid>
      <w:tr>
        <w:trPr/>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spacing w:before="0" w:after="40"/>
        <w:ind w:left="0" w:right="9360" w:hanging="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Filed herewith.</w:t>
      </w:r>
    </w:p>
    <w:p>
      <w:pPr>
        <w:pStyle w:val="TextBody"/>
        <w:bidi w:val="0"/>
        <w:jc w:val="both"/>
        <w:rPr>
          <w:rFonts w:ascii="Times New Roman" w:hAnsi="Times New Roman"/>
          <w:color w:val="000000"/>
          <w:sz w:val="20"/>
        </w:rPr>
      </w:pPr>
      <w:r>
        <w:rPr>
          <w:rFonts w:ascii="Times New Roman" w:hAnsi="Times New Roman"/>
          <w:color w:val="000000"/>
          <w:sz w:val="20"/>
        </w:rPr>
        <w:t>** Furnished herewith.</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397" w:type="dxa"/>
        <w:jc w:val="left"/>
        <w:tblInd w:w="0" w:type="dxa"/>
        <w:tblLayout w:type="fixed"/>
        <w:tblCellMar>
          <w:top w:w="28" w:type="dxa"/>
          <w:left w:w="28" w:type="dxa"/>
          <w:bottom w:w="28" w:type="dxa"/>
          <w:right w:w="28" w:type="dxa"/>
        </w:tblCellMar>
      </w:tblPr>
      <w:tblGrid>
        <w:gridCol w:w="1951"/>
        <w:gridCol w:w="109"/>
        <w:gridCol w:w="406"/>
        <w:gridCol w:w="393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TScan Therapeutics,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Gavin MacBeath</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Gavin MacBeath</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Jason A. Amello</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Jason A. Amello</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tcrx-ex31_1.htm"/>
      <w:bookmarkStart w:id="22" w:name="kstcrxex31_1"/>
      <w:bookmarkEnd w:id="21"/>
      <w:bookmarkEnd w:id="22"/>
      <w:r>
        <w:rPr>
          <w:rFonts w:ascii="Times New Roman" w:hAnsi="Times New Roman"/>
          <w:b/>
          <w:color w:val="000000"/>
          <w:sz w:val="20"/>
        </w:rPr>
        <w:t>Exhibit 31.1</w:t>
      </w:r>
      <w:r>
        <w:br w:type="page"/>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CERTIFICATION PURSUANT TO RULE 13a-14(a) AND 15d-14(a) OF</w:t>
      </w:r>
    </w:p>
    <w:p>
      <w:pPr>
        <w:pStyle w:val="TextBody"/>
        <w:bidi w:val="0"/>
        <w:jc w:val="center"/>
        <w:rPr>
          <w:rFonts w:ascii="Times New Roman" w:hAnsi="Times New Roman"/>
          <w:b/>
          <w:color w:val="000000"/>
          <w:sz w:val="18"/>
        </w:rPr>
      </w:pPr>
      <w:r>
        <w:rPr>
          <w:rFonts w:ascii="Times New Roman" w:hAnsi="Times New Roman"/>
          <w:b/>
          <w:color w:val="000000"/>
          <w:sz w:val="18"/>
        </w:rPr>
        <w:t>THE SECURITIES EXCHANGE ACT OF 1934,</w:t>
      </w:r>
    </w:p>
    <w:p>
      <w:pPr>
        <w:pStyle w:val="TextBody"/>
        <w:bidi w:val="0"/>
        <w:jc w:val="center"/>
        <w:rPr>
          <w:rFonts w:ascii="Times New Roman" w:hAnsi="Times New Roman"/>
          <w:b/>
          <w:color w:val="000000"/>
          <w:sz w:val="18"/>
        </w:rPr>
      </w:pPr>
      <w:r>
        <w:rPr>
          <w:rFonts w:ascii="Times New Roman" w:hAnsi="Times New Roman"/>
          <w:b/>
          <w:color w:val="000000"/>
          <w:sz w:val="18"/>
        </w:rPr>
        <w:t>AS ADOPTED PURSUANT TO SECTION 302 OF THE SARBANES-OXLEY ACT OF 2002</w:t>
      </w:r>
    </w:p>
    <w:p>
      <w:pPr>
        <w:pStyle w:val="TextBody"/>
        <w:bidi w:val="0"/>
        <w:jc w:val="left"/>
        <w:rPr>
          <w:rFonts w:ascii="Times New Roman" w:hAnsi="Times New Roman"/>
          <w:color w:val="000000"/>
          <w:sz w:val="18"/>
        </w:rPr>
      </w:pPr>
      <w:r>
        <w:rPr>
          <w:rFonts w:ascii="Times New Roman" w:hAnsi="Times New Roman"/>
          <w:color w:val="000000"/>
          <w:sz w:val="18"/>
        </w:rPr>
        <w:t>I, Gavin MacBeath, certify that:</w:t>
      </w:r>
    </w:p>
    <w:p>
      <w:pPr>
        <w:pStyle w:val="TextBody"/>
        <w:bidi w:val="0"/>
        <w:spacing w:before="120" w:after="283"/>
        <w:ind w:left="489" w:right="0" w:hanging="0"/>
        <w:jc w:val="both"/>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I have reviewed this Quarterly Report on Form 10-Q of TScan Therapeutics, Inc.;</w:t>
      </w:r>
    </w:p>
    <w:p>
      <w:pPr>
        <w:pStyle w:val="TextBody"/>
        <w:bidi w:val="0"/>
        <w:spacing w:before="120" w:after="283"/>
        <w:ind w:left="489" w:right="0" w:hanging="0"/>
        <w:jc w:val="both"/>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ind w:left="489" w:right="0" w:hanging="0"/>
        <w:jc w:val="both"/>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ind w:left="489" w:right="0" w:hanging="0"/>
        <w:jc w:val="both"/>
        <w:rPr>
          <w:rFonts w:ascii="Times New Roman" w:hAnsi="Times New Roman"/>
          <w:color w:val="000000"/>
          <w:sz w:val="18"/>
        </w:rPr>
      </w:pPr>
      <w:r>
        <w:rPr>
          <w:rFonts w:ascii="Times New Roman" w:hAnsi="Times New Roman"/>
          <w:color w:val="000000"/>
          <w:sz w:val="18"/>
        </w:rPr>
        <w:t>4.</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ind w:left="979" w:right="0" w:hanging="0"/>
        <w:jc w:val="both"/>
        <w:rPr>
          <w:rFonts w:ascii="Times New Roman" w:hAnsi="Times New Roman"/>
          <w:color w:val="000000"/>
          <w:sz w:val="18"/>
        </w:rPr>
      </w:pPr>
      <w:r>
        <w:rPr>
          <w:rFonts w:ascii="Times New Roman" w:hAnsi="Times New Roman"/>
          <w:color w:val="000000"/>
          <w:sz w:val="18"/>
        </w:rPr>
        <w:t>a.</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ind w:left="979" w:right="0" w:hanging="0"/>
        <w:jc w:val="both"/>
        <w:rPr>
          <w:rFonts w:ascii="Times New Roman" w:hAnsi="Times New Roman"/>
          <w:color w:val="000000"/>
          <w:sz w:val="18"/>
        </w:rPr>
      </w:pPr>
      <w:r>
        <w:rPr>
          <w:rFonts w:ascii="Times New Roman" w:hAnsi="Times New Roman"/>
          <w:color w:val="000000"/>
          <w:sz w:val="18"/>
        </w:rPr>
        <w:t>b.</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ind w:left="979" w:right="0" w:hanging="0"/>
        <w:jc w:val="both"/>
        <w:rPr>
          <w:rFonts w:ascii="Times New Roman" w:hAnsi="Times New Roman"/>
          <w:color w:val="000000"/>
          <w:sz w:val="18"/>
        </w:rPr>
      </w:pPr>
      <w:r>
        <w:rPr>
          <w:rFonts w:ascii="Times New Roman" w:hAnsi="Times New Roman"/>
          <w:color w:val="000000"/>
          <w:sz w:val="18"/>
        </w:rPr>
        <w:t>c.</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ind w:left="979" w:right="0" w:hanging="0"/>
        <w:jc w:val="both"/>
        <w:rPr>
          <w:rFonts w:ascii="Times New Roman" w:hAnsi="Times New Roman"/>
          <w:color w:val="000000"/>
          <w:sz w:val="18"/>
        </w:rPr>
      </w:pPr>
      <w:r>
        <w:rPr>
          <w:rFonts w:ascii="Times New Roman" w:hAnsi="Times New Roman"/>
          <w:color w:val="000000"/>
          <w:sz w:val="18"/>
        </w:rPr>
        <w:t>d.</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ind w:left="489" w:right="0" w:hanging="0"/>
        <w:jc w:val="both"/>
        <w:rPr>
          <w:rFonts w:ascii="Times New Roman" w:hAnsi="Times New Roman"/>
          <w:color w:val="000000"/>
          <w:sz w:val="18"/>
        </w:rPr>
      </w:pPr>
      <w:r>
        <w:rPr>
          <w:rFonts w:ascii="Times New Roman" w:hAnsi="Times New Roman"/>
          <w:color w:val="000000"/>
          <w:sz w:val="18"/>
        </w:rPr>
        <w:t>5.</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ind w:left="979" w:right="0" w:hanging="0"/>
        <w:jc w:val="both"/>
        <w:rPr>
          <w:rFonts w:ascii="Times New Roman" w:hAnsi="Times New Roman"/>
          <w:color w:val="000000"/>
          <w:sz w:val="18"/>
        </w:rPr>
      </w:pPr>
      <w:r>
        <w:rPr>
          <w:rFonts w:ascii="Times New Roman" w:hAnsi="Times New Roman"/>
          <w:color w:val="000000"/>
          <w:sz w:val="18"/>
        </w:rPr>
        <w:t>a.</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ind w:left="979" w:right="0" w:hanging="0"/>
        <w:jc w:val="both"/>
        <w:rPr>
          <w:rFonts w:ascii="Times New Roman" w:hAnsi="Times New Roman"/>
          <w:color w:val="000000"/>
          <w:sz w:val="18"/>
        </w:rPr>
      </w:pPr>
      <w:r>
        <w:rPr>
          <w:rFonts w:ascii="Times New Roman" w:hAnsi="Times New Roman"/>
          <w:color w:val="000000"/>
          <w:sz w:val="18"/>
        </w:rPr>
        <w:t>b.</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780" w:type="dxa"/>
        <w:jc w:val="left"/>
        <w:tblInd w:w="0" w:type="dxa"/>
        <w:tblLayout w:type="fixed"/>
        <w:tblCellMar>
          <w:top w:w="28" w:type="dxa"/>
          <w:left w:w="28" w:type="dxa"/>
          <w:bottom w:w="28" w:type="dxa"/>
          <w:right w:w="28" w:type="dxa"/>
        </w:tblCellMar>
      </w:tblPr>
      <w:tblGrid>
        <w:gridCol w:w="1741"/>
        <w:gridCol w:w="146"/>
        <w:gridCol w:w="571"/>
        <w:gridCol w:w="146"/>
        <w:gridCol w:w="217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1741" w:type="dxa"/>
            <w:vMerge w:val="restart"/>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18"/>
              </w:rPr>
            </w:pPr>
            <w:r>
              <w:rPr>
                <w:rFonts w:ascii="Times New Roman" w:hAnsi="Times New Roman"/>
                <w:color w:val="000000"/>
                <w:sz w:val="18"/>
              </w:rPr>
              <w:t>Date: August 12,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18"/>
              </w:rPr>
            </w:pPr>
            <w:r>
              <w:rPr>
                <w:rFonts w:ascii="Times New Roman" w:hAnsi="Times New Roman"/>
                <w:color w:val="000000"/>
                <w:sz w:val="18"/>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18"/>
              </w:rPr>
            </w:pPr>
            <w:r>
              <w:rPr>
                <w:rFonts w:ascii="Times New Roman" w:hAnsi="Times New Roman"/>
                <w:color w:val="000000"/>
                <w:sz w:val="18"/>
              </w:rPr>
              <w:t>/s/ Gavin MacBeath</w:t>
            </w:r>
          </w:p>
        </w:tc>
      </w:tr>
      <w:tr>
        <w:trPr/>
        <w:tc>
          <w:tcPr>
            <w:tcW w:w="17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18"/>
              </w:rPr>
            </w:pPr>
            <w:r>
              <w:rPr>
                <w:rFonts w:ascii="Times New Roman" w:hAnsi="Times New Roman"/>
                <w:color w:val="000000"/>
                <w:sz w:val="18"/>
              </w:rPr>
              <w:t>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18"/>
              </w:rPr>
            </w:pPr>
            <w:r>
              <w:rPr>
                <w:rFonts w:ascii="Times New Roman" w:hAnsi="Times New Roman"/>
                <w:color w:val="000000"/>
                <w:sz w:val="18"/>
              </w:rPr>
              <w:t>Gavin MacBeath</w:t>
            </w:r>
          </w:p>
        </w:tc>
      </w:tr>
      <w:tr>
        <w:trPr/>
        <w:tc>
          <w:tcPr>
            <w:tcW w:w="17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18"/>
              </w:rPr>
            </w:pPr>
            <w:r>
              <w:rPr>
                <w:rFonts w:ascii="Times New Roman" w:hAnsi="Times New Roman"/>
                <w:color w:val="000000"/>
                <w:sz w:val="18"/>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18"/>
              </w:rPr>
            </w:pPr>
            <w:r>
              <w:rPr>
                <w:rFonts w:ascii="Times New Roman" w:hAnsi="Times New Roman"/>
                <w:color w:val="000000"/>
                <w:sz w:val="18"/>
              </w:rPr>
              <w:t>Chief Executive Officer</w:t>
            </w:r>
          </w:p>
        </w:tc>
      </w:tr>
      <w:tr>
        <w:trPr/>
        <w:tc>
          <w:tcPr>
            <w:tcW w:w="17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18"/>
              </w:rPr>
            </w:pPr>
            <w:r>
              <w:rPr>
                <w:rFonts w:ascii="Times New Roman" w:hAnsi="Times New Roman"/>
                <w:i/>
                <w:color w:val="000000"/>
                <w:sz w:val="18"/>
              </w:rPr>
              <w:t>(Principal Executive Officer)</w:t>
            </w:r>
          </w:p>
        </w:tc>
      </w:tr>
    </w:tbl>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tcrx-ex31_2.htm"/>
      <w:bookmarkStart w:id="24" w:name="kstcrxex31_2"/>
      <w:bookmarkEnd w:id="23"/>
      <w:bookmarkEnd w:id="24"/>
      <w:r>
        <w:rPr>
          <w:rFonts w:ascii="Times New Roman" w:hAnsi="Times New Roman"/>
          <w:b/>
          <w:color w:val="000000"/>
          <w:sz w:val="20"/>
        </w:rPr>
        <w:t>Exhibit 31.2</w:t>
      </w:r>
      <w:r>
        <w:br w:type="page"/>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CERTIFICATION PURSUANT TO RULE 13a-14(a) AND 15d-14(a) OF</w:t>
      </w:r>
    </w:p>
    <w:p>
      <w:pPr>
        <w:pStyle w:val="TextBody"/>
        <w:bidi w:val="0"/>
        <w:jc w:val="center"/>
        <w:rPr>
          <w:rFonts w:ascii="Times New Roman" w:hAnsi="Times New Roman"/>
          <w:b/>
          <w:color w:val="000000"/>
          <w:sz w:val="18"/>
        </w:rPr>
      </w:pPr>
      <w:r>
        <w:rPr>
          <w:rFonts w:ascii="Times New Roman" w:hAnsi="Times New Roman"/>
          <w:b/>
          <w:color w:val="000000"/>
          <w:sz w:val="18"/>
        </w:rPr>
        <w:t>THE SECURITIES EXCHANGE ACT OF 1934,</w:t>
      </w:r>
    </w:p>
    <w:p>
      <w:pPr>
        <w:pStyle w:val="TextBody"/>
        <w:bidi w:val="0"/>
        <w:jc w:val="center"/>
        <w:rPr>
          <w:rFonts w:ascii="Times New Roman" w:hAnsi="Times New Roman"/>
          <w:b/>
          <w:color w:val="000000"/>
          <w:sz w:val="18"/>
        </w:rPr>
      </w:pPr>
      <w:r>
        <w:rPr>
          <w:rFonts w:ascii="Times New Roman" w:hAnsi="Times New Roman"/>
          <w:b/>
          <w:color w:val="000000"/>
          <w:sz w:val="18"/>
        </w:rPr>
        <w:t>AS ADOPTED PURSUANT TO SECTION 302 OF THE SARBANES-OXLEY ACT OF 2002</w:t>
      </w:r>
    </w:p>
    <w:p>
      <w:pPr>
        <w:pStyle w:val="TextBody"/>
        <w:bidi w:val="0"/>
        <w:jc w:val="left"/>
        <w:rPr>
          <w:rFonts w:ascii="Times New Roman" w:hAnsi="Times New Roman"/>
          <w:color w:val="000000"/>
          <w:sz w:val="18"/>
        </w:rPr>
      </w:pPr>
      <w:r>
        <w:rPr>
          <w:rFonts w:ascii="Times New Roman" w:hAnsi="Times New Roman"/>
          <w:color w:val="000000"/>
          <w:sz w:val="18"/>
        </w:rPr>
        <w:t>I, Jason A. Amello, certify that:</w:t>
      </w:r>
    </w:p>
    <w:p>
      <w:pPr>
        <w:pStyle w:val="TextBody"/>
        <w:bidi w:val="0"/>
        <w:spacing w:before="120" w:after="283"/>
        <w:ind w:left="489" w:right="0" w:hanging="0"/>
        <w:jc w:val="both"/>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I have reviewed this Quarterly Report on Form 10-Q of TScan Therapeutics, Inc.;</w:t>
      </w:r>
    </w:p>
    <w:p>
      <w:pPr>
        <w:pStyle w:val="TextBody"/>
        <w:bidi w:val="0"/>
        <w:spacing w:before="120" w:after="283"/>
        <w:ind w:left="489" w:right="0" w:hanging="0"/>
        <w:jc w:val="both"/>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ind w:left="489" w:right="0" w:hanging="0"/>
        <w:jc w:val="both"/>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ind w:left="489" w:right="0" w:hanging="0"/>
        <w:jc w:val="both"/>
        <w:rPr>
          <w:rFonts w:ascii="Times New Roman" w:hAnsi="Times New Roman"/>
          <w:color w:val="000000"/>
          <w:sz w:val="18"/>
        </w:rPr>
      </w:pPr>
      <w:r>
        <w:rPr>
          <w:rFonts w:ascii="Times New Roman" w:hAnsi="Times New Roman"/>
          <w:color w:val="000000"/>
          <w:sz w:val="18"/>
        </w:rPr>
        <w:t>4.</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ind w:left="979" w:right="0" w:hanging="0"/>
        <w:jc w:val="both"/>
        <w:rPr>
          <w:rFonts w:ascii="Times New Roman" w:hAnsi="Times New Roman"/>
          <w:color w:val="000000"/>
          <w:sz w:val="18"/>
        </w:rPr>
      </w:pPr>
      <w:r>
        <w:rPr>
          <w:rFonts w:ascii="Times New Roman" w:hAnsi="Times New Roman"/>
          <w:color w:val="000000"/>
          <w:sz w:val="18"/>
        </w:rPr>
        <w:t>a.</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ind w:left="979" w:right="0" w:hanging="0"/>
        <w:jc w:val="both"/>
        <w:rPr>
          <w:rFonts w:ascii="Times New Roman" w:hAnsi="Times New Roman"/>
          <w:color w:val="000000"/>
          <w:sz w:val="18"/>
        </w:rPr>
      </w:pPr>
      <w:r>
        <w:rPr>
          <w:rFonts w:ascii="Times New Roman" w:hAnsi="Times New Roman"/>
          <w:color w:val="000000"/>
          <w:sz w:val="18"/>
        </w:rPr>
        <w:t>b.</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ind w:left="979" w:right="0" w:hanging="0"/>
        <w:jc w:val="both"/>
        <w:rPr>
          <w:rFonts w:ascii="Times New Roman" w:hAnsi="Times New Roman"/>
          <w:color w:val="000000"/>
          <w:sz w:val="18"/>
        </w:rPr>
      </w:pPr>
      <w:r>
        <w:rPr>
          <w:rFonts w:ascii="Times New Roman" w:hAnsi="Times New Roman"/>
          <w:color w:val="000000"/>
          <w:sz w:val="18"/>
        </w:rPr>
        <w:t>c.</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ind w:left="979" w:right="0" w:hanging="0"/>
        <w:jc w:val="both"/>
        <w:rPr>
          <w:rFonts w:ascii="Times New Roman" w:hAnsi="Times New Roman"/>
          <w:color w:val="000000"/>
          <w:sz w:val="18"/>
        </w:rPr>
      </w:pPr>
      <w:r>
        <w:rPr>
          <w:rFonts w:ascii="Times New Roman" w:hAnsi="Times New Roman"/>
          <w:color w:val="000000"/>
          <w:sz w:val="18"/>
        </w:rPr>
        <w:t>d.</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ind w:left="489" w:right="0" w:hanging="0"/>
        <w:jc w:val="both"/>
        <w:rPr>
          <w:rFonts w:ascii="Times New Roman" w:hAnsi="Times New Roman"/>
          <w:color w:val="000000"/>
          <w:sz w:val="18"/>
        </w:rPr>
      </w:pPr>
      <w:r>
        <w:rPr>
          <w:rFonts w:ascii="Times New Roman" w:hAnsi="Times New Roman"/>
          <w:color w:val="000000"/>
          <w:sz w:val="18"/>
        </w:rPr>
        <w:t>5.</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ind w:left="979" w:right="0" w:hanging="0"/>
        <w:jc w:val="both"/>
        <w:rPr>
          <w:rFonts w:ascii="Times New Roman" w:hAnsi="Times New Roman"/>
          <w:color w:val="000000"/>
          <w:sz w:val="18"/>
        </w:rPr>
      </w:pPr>
      <w:r>
        <w:rPr>
          <w:rFonts w:ascii="Times New Roman" w:hAnsi="Times New Roman"/>
          <w:color w:val="000000"/>
          <w:sz w:val="18"/>
        </w:rPr>
        <w:t>a.</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ind w:left="979" w:right="0" w:hanging="0"/>
        <w:jc w:val="both"/>
        <w:rPr>
          <w:rFonts w:ascii="Times New Roman" w:hAnsi="Times New Roman"/>
          <w:color w:val="000000"/>
          <w:sz w:val="18"/>
        </w:rPr>
      </w:pPr>
      <w:r>
        <w:rPr>
          <w:rFonts w:ascii="Times New Roman" w:hAnsi="Times New Roman"/>
          <w:color w:val="000000"/>
          <w:sz w:val="18"/>
        </w:rPr>
        <w:t>b.</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950" w:type="dxa"/>
        <w:jc w:val="left"/>
        <w:tblInd w:w="0" w:type="dxa"/>
        <w:tblLayout w:type="fixed"/>
        <w:tblCellMar>
          <w:top w:w="28" w:type="dxa"/>
          <w:left w:w="28" w:type="dxa"/>
          <w:bottom w:w="28" w:type="dxa"/>
          <w:right w:w="28" w:type="dxa"/>
        </w:tblCellMar>
      </w:tblPr>
      <w:tblGrid>
        <w:gridCol w:w="1741"/>
        <w:gridCol w:w="146"/>
        <w:gridCol w:w="571"/>
        <w:gridCol w:w="146"/>
        <w:gridCol w:w="334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6" w:type="dxa"/>
            <w:tcBorders/>
            <w:vAlign w:val="center"/>
          </w:tcPr>
          <w:p>
            <w:pPr>
              <w:pStyle w:val="TableContents"/>
              <w:bidi w:val="0"/>
              <w:spacing w:before="0" w:after="283"/>
              <w:jc w:val="left"/>
              <w:rPr>
                <w:sz w:val="4"/>
                <w:szCs w:val="4"/>
              </w:rPr>
            </w:pPr>
            <w:r>
              <w:rPr>
                <w:sz w:val="4"/>
                <w:szCs w:val="4"/>
              </w:rPr>
            </w:r>
          </w:p>
        </w:tc>
      </w:tr>
      <w:tr>
        <w:trPr/>
        <w:tc>
          <w:tcPr>
            <w:tcW w:w="1741" w:type="dxa"/>
            <w:vMerge w:val="restart"/>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18"/>
              </w:rPr>
            </w:pPr>
            <w:r>
              <w:rPr>
                <w:rFonts w:ascii="Times New Roman" w:hAnsi="Times New Roman"/>
                <w:color w:val="000000"/>
                <w:sz w:val="18"/>
              </w:rPr>
              <w:t>Date: August 12,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18"/>
              </w:rPr>
            </w:pPr>
            <w:r>
              <w:rPr>
                <w:rFonts w:ascii="Times New Roman" w:hAnsi="Times New Roman"/>
                <w:color w:val="000000"/>
                <w:sz w:val="18"/>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46"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18"/>
              </w:rPr>
            </w:pPr>
            <w:r>
              <w:rPr>
                <w:rFonts w:ascii="Times New Roman" w:hAnsi="Times New Roman"/>
                <w:color w:val="000000"/>
                <w:sz w:val="18"/>
              </w:rPr>
              <w:t>/s/ Jason A. Amello</w:t>
            </w:r>
          </w:p>
        </w:tc>
      </w:tr>
      <w:tr>
        <w:trPr/>
        <w:tc>
          <w:tcPr>
            <w:tcW w:w="17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18"/>
              </w:rPr>
            </w:pPr>
            <w:r>
              <w:rPr>
                <w:rFonts w:ascii="Times New Roman" w:hAnsi="Times New Roman"/>
                <w:color w:val="000000"/>
                <w:sz w:val="18"/>
              </w:rPr>
              <w:t>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4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18"/>
              </w:rPr>
            </w:pPr>
            <w:r>
              <w:rPr>
                <w:rFonts w:ascii="Times New Roman" w:hAnsi="Times New Roman"/>
                <w:color w:val="000000"/>
                <w:sz w:val="18"/>
              </w:rPr>
              <w:t>Jason A. Amello</w:t>
            </w:r>
          </w:p>
        </w:tc>
      </w:tr>
      <w:tr>
        <w:trPr/>
        <w:tc>
          <w:tcPr>
            <w:tcW w:w="17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18"/>
              </w:rPr>
            </w:pPr>
            <w:r>
              <w:rPr>
                <w:rFonts w:ascii="Times New Roman" w:hAnsi="Times New Roman"/>
                <w:color w:val="000000"/>
                <w:sz w:val="18"/>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4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18"/>
              </w:rPr>
            </w:pPr>
            <w:r>
              <w:rPr>
                <w:rFonts w:ascii="Times New Roman" w:hAnsi="Times New Roman"/>
                <w:color w:val="000000"/>
                <w:sz w:val="18"/>
              </w:rPr>
              <w:t>Chief Financial Officer</w:t>
            </w:r>
          </w:p>
        </w:tc>
      </w:tr>
      <w:tr>
        <w:trPr/>
        <w:tc>
          <w:tcPr>
            <w:tcW w:w="17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4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18"/>
              </w:rPr>
            </w:pPr>
            <w:r>
              <w:rPr>
                <w:rFonts w:ascii="Times New Roman" w:hAnsi="Times New Roman"/>
                <w:i/>
                <w:color w:val="000000"/>
                <w:sz w:val="18"/>
              </w:rPr>
              <w:t>(Principal Financial and Accounting Officer)</w:t>
            </w:r>
          </w:p>
        </w:tc>
      </w:tr>
    </w:tbl>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tcrx-ex32_1.htm"/>
      <w:bookmarkStart w:id="26" w:name="kstcrxex32_1"/>
      <w:bookmarkEnd w:id="25"/>
      <w:bookmarkEnd w:id="26"/>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connection with the Quarterly Report of TScan Therapeutics, Inc. (the “Company”) on Form 10-Q for the period ended June 30, 2026 as filed with the Securities and Exchange Commission on the date hereof (the “Report”), I certify, pursuant to 18 U.S.C. § 1350, as adopted pursuant to § 906 of the Sarbanes-Oxley Act of 2002, that:</w:t>
      </w:r>
    </w:p>
    <w:p>
      <w:pPr>
        <w:pStyle w:val="TextBody"/>
        <w:pBdr/>
        <w:bidi w:val="0"/>
        <w:spacing w:before="240" w:after="283"/>
        <w:ind w:left="490" w:right="0" w:hanging="490"/>
        <w:jc w:val="both"/>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pBdr/>
        <w:bidi w:val="0"/>
        <w:spacing w:before="240" w:after="283"/>
        <w:ind w:left="490" w:right="0" w:hanging="490"/>
        <w:jc w:val="both"/>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 of operations of the Company.</w:t>
      </w:r>
    </w:p>
    <w:p>
      <w:pPr>
        <w:pStyle w:val="TextBody"/>
        <w:pBdr/>
        <w:bidi w:val="0"/>
        <w:ind w:left="0" w:right="0" w:hanging="490"/>
        <w:jc w:val="left"/>
        <w:rPr/>
      </w:pPr>
      <w:r>
        <w:rPr/>
        <w:t> </w:t>
      </w:r>
    </w:p>
    <w:tbl>
      <w:tblPr>
        <w:tblW w:w="4942" w:type="dxa"/>
        <w:jc w:val="left"/>
        <w:tblInd w:w="0" w:type="dxa"/>
        <w:tblLayout w:type="fixed"/>
        <w:tblCellMar>
          <w:top w:w="28" w:type="dxa"/>
          <w:left w:w="28" w:type="dxa"/>
          <w:bottom w:w="28" w:type="dxa"/>
          <w:right w:w="28" w:type="dxa"/>
        </w:tblCellMar>
      </w:tblPr>
      <w:tblGrid>
        <w:gridCol w:w="1951"/>
        <w:gridCol w:w="109"/>
        <w:gridCol w:w="406"/>
        <w:gridCol w:w="247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Gavin MacBeath</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Gavin MacBeath</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tcrx-ex32_2.htm"/>
      <w:bookmarkStart w:id="28" w:name="kstcrxex32_2"/>
      <w:bookmarkEnd w:id="27"/>
      <w:bookmarkEnd w:id="28"/>
      <w:r>
        <w:rPr>
          <w:rFonts w:ascii="Times New Roman" w:hAnsi="Times New Roman"/>
          <w:b/>
          <w:color w:val="000000"/>
          <w:sz w:val="20"/>
        </w:rPr>
        <w:t>Exhibit 32.2</w:t>
      </w:r>
      <w:r>
        <w:br w:type="page"/>
      </w:r>
    </w:p>
    <w:p>
      <w:pPr>
        <w:pStyle w:val="TextBody"/>
        <w:bidi w:val="0"/>
        <w:jc w:val="righ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connection with the Quarterly Report of TScan Therapeutics, Inc. (the “Company”) on Form 10-Q for the period ending June 30, 2026 as filed with the Securities and Exchange Commission on the date hereof (the “Report”), I certify, pursuant to 18 U.S.C. § 1350, as adopted pursuant to § 906 of the Sarbanes-Oxley Act of 2002, that:</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pBdr/>
        <w:bidi w:val="0"/>
        <w:ind w:left="0" w:right="0" w:hanging="490"/>
        <w:jc w:val="left"/>
        <w:rPr/>
      </w:pPr>
      <w:r>
        <w:rPr/>
        <w:t> </w:t>
      </w:r>
    </w:p>
    <w:tbl>
      <w:tblPr>
        <w:tblW w:w="6277" w:type="dxa"/>
        <w:jc w:val="left"/>
        <w:tblInd w:w="0" w:type="dxa"/>
        <w:tblLayout w:type="fixed"/>
        <w:tblCellMar>
          <w:top w:w="28" w:type="dxa"/>
          <w:left w:w="28" w:type="dxa"/>
          <w:bottom w:w="28" w:type="dxa"/>
          <w:right w:w="28" w:type="dxa"/>
        </w:tblCellMar>
      </w:tblPr>
      <w:tblGrid>
        <w:gridCol w:w="1951"/>
        <w:gridCol w:w="109"/>
        <w:gridCol w:w="406"/>
        <w:gridCol w:w="381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1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Jason A. Amello</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Jason A. Amello</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spacing w:before="240" w:after="283"/>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783328/000119312521219696/d172723dex31.htm" TargetMode="External"/><Relationship Id="rId3" Type="http://schemas.openxmlformats.org/officeDocument/2006/relationships/hyperlink" Target="https://www.sec.gov/Archives/edgar/data/1783328/000119312526236862/d43301dex31.htm" TargetMode="External"/><Relationship Id="rId4" Type="http://schemas.openxmlformats.org/officeDocument/2006/relationships/hyperlink" Target="https://www.sec.gov/Archives/edgar/data/0001783328/000119312521219696/d172723dex3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69318</Words>
  <Characters>386547</Characters>
  <CharactersWithSpaces>455355</CharactersWithSpaces>
  <Paragraphs>5406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