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9" w:lineRule="exact"/>
        <w:rPr>
          <w:sz w:val="24"/>
          <w:szCs w:val="24"/>
          <w:color w:val="auto"/>
        </w:rPr>
      </w:pPr>
    </w:p>
    <w:p>
      <w:pPr>
        <w:ind w:left="320" w:right="20"/>
        <w:spacing w:after="0" w:line="27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-182245</wp:posOffset>
            </wp:positionV>
            <wp:extent cx="113665" cy="1136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665" cy="113665"/>
                    </a:xfrm>
                    <a:prstGeom prst="rect">
                      <a:avLst/>
                    </a:prstGeom>
                    <a:noFill/>
                  </pic:spPr>
                </pic:pic>
              </a:graphicData>
            </a:graphic>
          </wp:anchor>
        </w:drawing>
      </w:r>
    </w:p>
    <w:p>
      <w:pPr>
        <w:spacing w:after="0" w:line="204" w:lineRule="exact"/>
        <w:rPr>
          <w:sz w:val="24"/>
          <w:szCs w:val="24"/>
          <w:color w:val="auto"/>
        </w:rPr>
      </w:pPr>
    </w:p>
    <w:p>
      <w:pPr>
        <w:ind w:left="320"/>
        <w:spacing w:after="0" w:line="23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-535305</wp:posOffset>
            </wp:positionV>
            <wp:extent cx="113665" cy="113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665" cy="1136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6060" w:type="dxa"/>
            <w:vAlign w:val="bottom"/>
          </w:tcPr>
          <w:p>
            <w:pPr>
              <w:jc w:val="center"/>
              <w:ind w:right="40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60" w:type="dxa"/>
            <w:vAlign w:val="bottom"/>
            <w:vMerge w:val="restart"/>
          </w:tcPr>
          <w:p>
            <w:pPr>
              <w:jc w:val="center"/>
              <w:ind w:right="403"/>
              <w:spacing w:after="0" w:line="133"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5"/>
        </w:trPr>
        <w:tc>
          <w:tcPr>
            <w:tcW w:w="6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03"/>
              <w:spacing w:after="0" w:line="171"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vMerge w:val="restart"/>
          </w:tcPr>
          <w:p>
            <w:pPr>
              <w:jc w:val="center"/>
              <w:ind w:right="40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5123815</wp:posOffset>
            </wp:positionH>
            <wp:positionV relativeFrom="paragraph">
              <wp:posOffset>-579755</wp:posOffset>
            </wp:positionV>
            <wp:extent cx="55880"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30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-579755</wp:posOffset>
            </wp:positionV>
            <wp:extent cx="55880" cy="593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30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-1793240</wp:posOffset>
            </wp:positionH>
            <wp:positionV relativeFrom="paragraph">
              <wp:posOffset>610870</wp:posOffset>
            </wp:positionV>
            <wp:extent cx="7051675" cy="889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1675" cy="8898255"/>
                    </a:xfrm>
                    <a:prstGeom prst="rect">
                      <a:avLst/>
                    </a:prstGeom>
                    <a:noFill/>
                  </pic:spPr>
                </pic:pic>
              </a:graphicData>
            </a:graphic>
          </wp:anchor>
        </w:drawing>
      </w:r>
    </w:p>
    <w:p>
      <w:pPr>
        <w:spacing w:after="0" w:line="1034" w:lineRule="exact"/>
        <w:rPr>
          <w:sz w:val="24"/>
          <w:szCs w:val="24"/>
          <w:color w:val="auto"/>
        </w:rPr>
      </w:pPr>
    </w:p>
    <w:p>
      <w:pPr>
        <w:sectPr>
          <w:pgSz w:w="11900" w:h="16838" w:orient="portrait"/>
          <w:cols w:equalWidth="0" w:num="2">
            <w:col w:w="2280" w:space="520"/>
            <w:col w:w="8280"/>
          </w:cols>
          <w:pgMar w:left="460" w:top="210" w:right="359" w:bottom="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BAKER BROS. ADVISORS LP</w:t>
        </w:r>
      </w:hyperlink>
    </w:p>
    <w:p>
      <w:pPr>
        <w:spacing w:after="0" w:line="273"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66"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5"/>
          <w:szCs w:val="15"/>
          <w:color w:val="0000FF"/>
        </w:rPr>
        <w:t>860 WASHINGTON STREET,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TScan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TCRX</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0000FF"/>
        </w:rPr>
        <w:t>05/20/2026</w:t>
      </w:r>
    </w:p>
    <w:p>
      <w:pPr>
        <w:spacing w:after="0" w:line="20" w:lineRule="exact"/>
        <w:rPr>
          <w:sz w:val="24"/>
          <w:szCs w:val="24"/>
          <w:color w:val="auto"/>
        </w:rPr>
      </w:pPr>
      <w:r>
        <w:rPr>
          <w:sz w:val="24"/>
          <w:szCs w:val="24"/>
          <w:color w:val="auto"/>
        </w:rPr>
        <w:br w:type="column"/>
      </w:r>
    </w:p>
    <w:p>
      <w:pPr>
        <w:ind w:left="-3" w:right="820" w:firstLine="3"/>
        <w:spacing w:after="0" w:line="262" w:lineRule="auto"/>
        <w:tabs>
          <w:tab w:leader="none" w:pos="13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2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65" w:lineRule="exact"/>
        <w:rPr>
          <w:sz w:val="24"/>
          <w:szCs w:val="24"/>
          <w:color w:val="auto"/>
        </w:rPr>
      </w:pPr>
    </w:p>
    <w:p>
      <w:pPr>
        <w:jc w:val="right"/>
        <w:ind w:right="50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74" w:lineRule="exact"/>
        <w:rPr>
          <w:sz w:val="24"/>
          <w:szCs w:val="24"/>
          <w:color w:val="auto"/>
        </w:rPr>
      </w:pPr>
    </w:p>
    <w:p>
      <w:pPr>
        <w:sectPr>
          <w:pgSz w:w="11900" w:h="16838" w:orient="portrait"/>
          <w:cols w:equalWidth="0" w:num="3">
            <w:col w:w="3180" w:space="720"/>
            <w:col w:w="3123" w:space="720"/>
            <w:col w:w="3337"/>
          </w:cols>
          <w:pgMar w:left="460" w:top="210" w:right="359" w:bottom="0" w:gutter="0" w:footer="0" w:header="0"/>
          <w:type w:val="continuous"/>
        </w:sectPr>
      </w:pP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11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80" w:type="dxa"/>
            <w:vAlign w:val="bottom"/>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tcPr>
          <w:p>
            <w:pPr>
              <w:ind w:left="400"/>
              <w:spacing w:after="0"/>
              <w:rPr>
                <w:sz w:val="20"/>
                <w:szCs w:val="20"/>
                <w:color w:val="auto"/>
              </w:rPr>
            </w:pPr>
            <w:r>
              <w:rPr>
                <w:rFonts w:ascii="Arial" w:cs="Arial" w:eastAsia="Arial" w:hAnsi="Arial"/>
                <w:sz w:val="12"/>
                <w:szCs w:val="12"/>
                <w:color w:val="auto"/>
              </w:rPr>
              <w:t>6. Individual or Joint/Group Filing (Check Applicable Line)</w:t>
            </w:r>
          </w:p>
        </w:tc>
      </w:tr>
      <w:tr>
        <w:trPr>
          <w:trHeight w:val="203"/>
        </w:trPr>
        <w:tc>
          <w:tcPr>
            <w:tcW w:w="10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5"/>
                <w:szCs w:val="15"/>
                <w:color w:val="0000FF"/>
              </w:rPr>
              <w:t>NEW YORK</w:t>
            </w:r>
          </w:p>
        </w:tc>
        <w:tc>
          <w:tcPr>
            <w:tcW w:w="980" w:type="dxa"/>
            <w:vAlign w:val="bottom"/>
          </w:tcPr>
          <w:p>
            <w:pPr>
              <w:ind w:left="200"/>
              <w:spacing w:after="0"/>
              <w:rPr>
                <w:sz w:val="20"/>
                <w:szCs w:val="20"/>
                <w:color w:val="auto"/>
              </w:rPr>
            </w:pPr>
            <w:r>
              <w:rPr>
                <w:rFonts w:ascii="Times New Roman" w:cs="Times New Roman" w:eastAsia="Times New Roman" w:hAnsi="Times New Roman"/>
                <w:sz w:val="15"/>
                <w:szCs w:val="15"/>
                <w:color w:val="0000FF"/>
              </w:rPr>
              <w:t>NY</w:t>
            </w:r>
          </w:p>
        </w:tc>
        <w:tc>
          <w:tcPr>
            <w:tcW w:w="1640" w:type="dxa"/>
            <w:vAlign w:val="bottom"/>
          </w:tcPr>
          <w:p>
            <w:pPr>
              <w:ind w:left="440"/>
              <w:spacing w:after="0"/>
              <w:rPr>
                <w:sz w:val="20"/>
                <w:szCs w:val="20"/>
                <w:color w:val="auto"/>
              </w:rPr>
            </w:pPr>
            <w:r>
              <w:rPr>
                <w:rFonts w:ascii="Times New Roman" w:cs="Times New Roman" w:eastAsia="Times New Roman" w:hAnsi="Times New Roman"/>
                <w:sz w:val="15"/>
                <w:szCs w:val="15"/>
                <w:color w:val="0000FF"/>
              </w:rPr>
              <w:t>10014</w:t>
            </w:r>
          </w:p>
        </w:tc>
        <w:tc>
          <w:tcPr>
            <w:tcW w:w="3580" w:type="dxa"/>
            <w:vAlign w:val="bottom"/>
          </w:tcPr>
          <w:p>
            <w:pPr>
              <w:spacing w:after="0"/>
              <w:rPr>
                <w:sz w:val="17"/>
                <w:szCs w:val="17"/>
                <w:color w:val="auto"/>
              </w:rPr>
            </w:pPr>
          </w:p>
        </w:tc>
        <w:tc>
          <w:tcPr>
            <w:tcW w:w="3640" w:type="dxa"/>
            <w:vAlign w:val="bottom"/>
          </w:tcPr>
          <w:p>
            <w:pPr>
              <w:ind w:left="920"/>
              <w:spacing w:after="0"/>
              <w:rPr>
                <w:sz w:val="20"/>
                <w:szCs w:val="20"/>
                <w:color w:val="auto"/>
              </w:rPr>
            </w:pPr>
            <w:r>
              <w:rPr>
                <w:rFonts w:ascii="Arial" w:cs="Arial" w:eastAsia="Arial" w:hAnsi="Arial"/>
                <w:sz w:val="12"/>
                <w:szCs w:val="12"/>
                <w:color w:val="auto"/>
              </w:rPr>
              <w:t>Form filed by One Reporting Person</w:t>
            </w:r>
          </w:p>
        </w:tc>
      </w:tr>
      <w:tr>
        <w:trPr>
          <w:trHeight w:val="159"/>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3580" w:type="dxa"/>
            <w:vAlign w:val="bottom"/>
          </w:tcPr>
          <w:p>
            <w:pPr>
              <w:spacing w:after="0"/>
              <w:rPr>
                <w:sz w:val="13"/>
                <w:szCs w:val="13"/>
                <w:color w:val="auto"/>
              </w:rPr>
            </w:pPr>
          </w:p>
        </w:tc>
        <w:tc>
          <w:tcPr>
            <w:tcW w:w="3640" w:type="dxa"/>
            <w:vAlign w:val="bottom"/>
          </w:tcPr>
          <w:p>
            <w:pPr>
              <w:ind w:left="920"/>
              <w:spacing w:after="0"/>
              <w:rPr>
                <w:sz w:val="20"/>
                <w:szCs w:val="20"/>
                <w:color w:val="auto"/>
              </w:rPr>
            </w:pPr>
            <w:r>
              <w:rPr>
                <w:rFonts w:ascii="Arial" w:cs="Arial" w:eastAsia="Arial" w:hAnsi="Arial"/>
                <w:sz w:val="12"/>
                <w:szCs w:val="12"/>
                <w:color w:val="auto"/>
              </w:rPr>
              <w:t>Form filed by More than One Reporting Person</w:t>
            </w:r>
          </w:p>
        </w:tc>
      </w:tr>
      <w:tr>
        <w:trPr>
          <w:trHeight w:val="276"/>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2"/>
                <w:szCs w:val="12"/>
                <w:color w:val="auto"/>
              </w:rPr>
              <w:t>(City)</w:t>
            </w:r>
          </w:p>
        </w:tc>
        <w:tc>
          <w:tcPr>
            <w:tcW w:w="980" w:type="dxa"/>
            <w:vAlign w:val="bottom"/>
          </w:tcPr>
          <w:p>
            <w:pPr>
              <w:ind w:left="200"/>
              <w:spacing w:after="0"/>
              <w:rPr>
                <w:sz w:val="20"/>
                <w:szCs w:val="20"/>
                <w:color w:val="auto"/>
              </w:rPr>
            </w:pPr>
            <w:r>
              <w:rPr>
                <w:rFonts w:ascii="Arial" w:cs="Arial" w:eastAsia="Arial" w:hAnsi="Arial"/>
                <w:sz w:val="12"/>
                <w:szCs w:val="12"/>
                <w:color w:val="auto"/>
              </w:rPr>
              <w:t>(State)</w:t>
            </w:r>
          </w:p>
        </w:tc>
        <w:tc>
          <w:tcPr>
            <w:tcW w:w="5220" w:type="dxa"/>
            <w:vAlign w:val="bottom"/>
            <w:gridSpan w:val="2"/>
          </w:tcPr>
          <w:p>
            <w:pPr>
              <w:ind w:left="440"/>
              <w:spacing w:after="0"/>
              <w:rPr>
                <w:sz w:val="20"/>
                <w:szCs w:val="20"/>
                <w:color w:val="auto"/>
              </w:rPr>
            </w:pPr>
            <w:r>
              <w:rPr>
                <w:rFonts w:ascii="Arial" w:cs="Arial" w:eastAsia="Arial" w:hAnsi="Arial"/>
                <w:sz w:val="12"/>
                <w:szCs w:val="12"/>
                <w:color w:val="auto"/>
              </w:rPr>
              <w:t>(Zip)</w:t>
            </w:r>
          </w:p>
        </w:tc>
        <w:tc>
          <w:tcPr>
            <w:tcW w:w="3640" w:type="dxa"/>
            <w:vAlign w:val="bottom"/>
          </w:tcPr>
          <w:p>
            <w:pPr>
              <w:spacing w:after="0"/>
              <w:rPr>
                <w:sz w:val="24"/>
                <w:szCs w:val="24"/>
                <w:color w:val="auto"/>
              </w:rPr>
            </w:pPr>
          </w:p>
        </w:tc>
      </w:tr>
      <w:tr>
        <w:trPr>
          <w:trHeight w:val="113"/>
        </w:trPr>
        <w:tc>
          <w:tcPr>
            <w:tcW w:w="10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7220" w:type="dxa"/>
            <w:vAlign w:val="bottom"/>
            <w:tcBorders>
              <w:bottom w:val="single" w:sz="8" w:color="2C2C2C"/>
            </w:tcBorders>
            <w:gridSpan w:val="2"/>
          </w:tcPr>
          <w:p>
            <w:pPr>
              <w:spacing w:after="0"/>
              <w:rPr>
                <w:sz w:val="9"/>
                <w:szCs w:val="9"/>
                <w:color w:val="auto"/>
              </w:rPr>
            </w:pPr>
          </w:p>
        </w:tc>
      </w:tr>
      <w:tr>
        <w:trPr>
          <w:trHeight w:val="233"/>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60" w:type="dxa"/>
            <w:vAlign w:val="bottom"/>
            <w:gridSpan w:val="3"/>
          </w:tcPr>
          <w:p>
            <w:pPr>
              <w:ind w:left="42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r>
    </w:tbl>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4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tcPr>
          <w:p>
            <w:pPr>
              <w:ind w:left="9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880" w:type="dxa"/>
            <w:vAlign w:val="bottom"/>
          </w:tcPr>
          <w:p>
            <w:pPr>
              <w:ind w:left="940"/>
              <w:spacing w:after="0" w:line="120"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Form: Direct (D)</w:t>
            </w: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880" w:type="dxa"/>
            <w:vAlign w:val="bottom"/>
          </w:tcPr>
          <w:p>
            <w:pPr>
              <w:ind w:left="940"/>
              <w:spacing w:after="0" w:line="120"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or Indirect (I)</w:t>
            </w: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(Instr. 4)</w:t>
            </w: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3"/>
        </w:trPr>
        <w:tc>
          <w:tcPr>
            <w:tcW w:w="25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vMerge w:val="restart"/>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5"/>
                <w:szCs w:val="5"/>
                <w:color w:val="auto"/>
              </w:rPr>
            </w:pPr>
          </w:p>
        </w:tc>
        <w:tc>
          <w:tcPr>
            <w:tcW w:w="760" w:type="dxa"/>
            <w:vAlign w:val="bottom"/>
            <w:vMerge w:val="restart"/>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25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25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20"/>
              <w:spacing w:after="0" w:line="120"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54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5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25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(e.g., puts, calls, warrants, options, convertible securities)</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5"/>
          </w:tcPr>
          <w:p>
            <w:pPr>
              <w:ind w:left="8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420" w:type="dxa"/>
            <w:vAlign w:val="bottom"/>
          </w:tcPr>
          <w:p>
            <w:pPr>
              <w:ind w:left="60"/>
              <w:spacing w:after="0"/>
              <w:rPr>
                <w:sz w:val="20"/>
                <w:szCs w:val="20"/>
                <w:color w:val="auto"/>
              </w:rPr>
            </w:pPr>
            <w:r>
              <w:rPr>
                <w:rFonts w:ascii="Arial" w:cs="Arial" w:eastAsia="Arial" w:hAnsi="Arial"/>
                <w:sz w:val="11"/>
                <w:szCs w:val="11"/>
                <w:b w:val="1"/>
                <w:bCs w:val="1"/>
                <w:color w:val="auto"/>
              </w:rPr>
              <w:t>11. Nature of Indirect</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98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62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w w:val="98"/>
              </w:rPr>
              <w:t>Derivative</w:t>
            </w:r>
          </w:p>
        </w:tc>
        <w:tc>
          <w:tcPr>
            <w:tcW w:w="240" w:type="dxa"/>
            <w:vAlign w:val="bottom"/>
          </w:tcPr>
          <w:p>
            <w:pPr>
              <w:spacing w:after="0"/>
              <w:rPr>
                <w:sz w:val="10"/>
                <w:szCs w:val="10"/>
                <w:color w:val="auto"/>
              </w:rPr>
            </w:pPr>
          </w:p>
        </w:tc>
        <w:tc>
          <w:tcPr>
            <w:tcW w:w="14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Expiration Date</w:t>
            </w:r>
          </w:p>
        </w:tc>
        <w:tc>
          <w:tcPr>
            <w:tcW w:w="11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of Securities</w:t>
            </w: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14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Beneficial Ownership</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98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62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w w:val="98"/>
              </w:rPr>
              <w:t>Securities</w:t>
            </w:r>
          </w:p>
        </w:tc>
        <w:tc>
          <w:tcPr>
            <w:tcW w:w="240" w:type="dxa"/>
            <w:vAlign w:val="bottom"/>
          </w:tcPr>
          <w:p>
            <w:pPr>
              <w:spacing w:after="0"/>
              <w:rPr>
                <w:sz w:val="10"/>
                <w:szCs w:val="10"/>
                <w:color w:val="auto"/>
              </w:rPr>
            </w:pPr>
          </w:p>
        </w:tc>
        <w:tc>
          <w:tcPr>
            <w:tcW w:w="14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3"/>
              </w:rPr>
              <w:t>Underlying</w:t>
            </w:r>
          </w:p>
        </w:tc>
        <w:tc>
          <w:tcPr>
            <w:tcW w:w="500" w:type="dxa"/>
            <w:vAlign w:val="bottom"/>
          </w:tcPr>
          <w:p>
            <w:pPr>
              <w:spacing w:after="0"/>
              <w:rPr>
                <w:sz w:val="10"/>
                <w:szCs w:val="10"/>
                <w:color w:val="auto"/>
              </w:rPr>
            </w:pP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Form:</w:t>
            </w:r>
          </w:p>
        </w:tc>
        <w:tc>
          <w:tcPr>
            <w:tcW w:w="14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72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98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860" w:type="dxa"/>
            <w:vAlign w:val="bottom"/>
            <w:gridSpan w:val="5"/>
          </w:tcPr>
          <w:p>
            <w:pPr>
              <w:ind w:left="80"/>
              <w:spacing w:after="0" w:line="120" w:lineRule="exact"/>
              <w:rPr>
                <w:sz w:val="20"/>
                <w:szCs w:val="20"/>
                <w:color w:val="auto"/>
              </w:rPr>
            </w:pPr>
            <w:r>
              <w:rPr>
                <w:rFonts w:ascii="Arial" w:cs="Arial" w:eastAsia="Arial" w:hAnsi="Arial"/>
                <w:sz w:val="11"/>
                <w:szCs w:val="11"/>
                <w:b w:val="1"/>
                <w:bCs w:val="1"/>
                <w:color w:val="auto"/>
              </w:rPr>
              <w:t>Acquired (A)</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Direct (D)</w:t>
            </w: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gridSpan w:val="5"/>
          </w:tcPr>
          <w:p>
            <w:pPr>
              <w:ind w:left="80"/>
              <w:spacing w:after="0" w:line="120" w:lineRule="exact"/>
              <w:rPr>
                <w:sz w:val="20"/>
                <w:szCs w:val="20"/>
                <w:color w:val="auto"/>
              </w:rPr>
            </w:pPr>
            <w:r>
              <w:rPr>
                <w:rFonts w:ascii="Arial" w:cs="Arial" w:eastAsia="Arial" w:hAnsi="Arial"/>
                <w:sz w:val="11"/>
                <w:szCs w:val="11"/>
                <w:b w:val="1"/>
                <w:bCs w:val="1"/>
                <w:color w:val="auto"/>
              </w:rPr>
              <w:t>or Disposed</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Owned</w:t>
            </w: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or Indirect</w:t>
            </w: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gridSpan w:val="5"/>
          </w:tcPr>
          <w:p>
            <w:pPr>
              <w:ind w:left="80"/>
              <w:spacing w:after="0" w:line="120" w:lineRule="exact"/>
              <w:rPr>
                <w:sz w:val="20"/>
                <w:szCs w:val="20"/>
                <w:color w:val="auto"/>
              </w:rPr>
            </w:pPr>
            <w:r>
              <w:rPr>
                <w:rFonts w:ascii="Arial" w:cs="Arial" w:eastAsia="Arial" w:hAnsi="Arial"/>
                <w:sz w:val="11"/>
                <w:szCs w:val="11"/>
                <w:b w:val="1"/>
                <w:bCs w:val="1"/>
                <w:color w:val="auto"/>
              </w:rPr>
              <w:t>of (D) (Instr. 3,</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Following</w:t>
            </w: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 (Instr. 4)</w:t>
            </w: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4 and 5)</w:t>
            </w: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Reported</w:t>
            </w:r>
          </w:p>
        </w:tc>
        <w:tc>
          <w:tcPr>
            <w:tcW w:w="6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vMerge w:val="restart"/>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6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of</w:t>
            </w:r>
          </w:p>
        </w:tc>
        <w:tc>
          <w:tcPr>
            <w:tcW w:w="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gridSpan w:val="4"/>
          </w:tcPr>
          <w:p>
            <w:pPr>
              <w:ind w:left="8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4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Qualified</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vMerge w:val="restart"/>
          </w:tcPr>
          <w:p>
            <w:pPr>
              <w:ind w:left="60"/>
              <w:spacing w:after="0"/>
              <w:rPr>
                <w:sz w:val="20"/>
                <w:szCs w:val="20"/>
                <w:color w:val="auto"/>
              </w:rPr>
            </w:pPr>
            <w:r>
              <w:rPr>
                <w:rFonts w:ascii="Times New Roman" w:cs="Times New Roman" w:eastAsia="Times New Roman" w:hAnsi="Times New Roman"/>
                <w:sz w:val="23"/>
                <w:szCs w:val="23"/>
                <w:color w:val="0000FF"/>
                <w:w w:val="92"/>
                <w:vertAlign w:val="subscript"/>
              </w:rPr>
              <w:t>See Footnotes</w:t>
            </w:r>
            <w:r>
              <w:rPr>
                <w:rFonts w:ascii="Times New Roman" w:cs="Times New Roman" w:eastAsia="Times New Roman" w:hAnsi="Times New Roman"/>
                <w:sz w:val="10"/>
                <w:szCs w:val="10"/>
                <w:color w:val="008000"/>
                <w:w w:val="92"/>
              </w:rPr>
              <w:t>(2)(3)(4)(5)(6)</w:t>
            </w:r>
          </w:p>
        </w:tc>
        <w:tc>
          <w:tcPr>
            <w:tcW w:w="0" w:type="dxa"/>
            <w:vAlign w:val="bottom"/>
          </w:tcPr>
          <w:p>
            <w:pPr>
              <w:spacing w:after="0"/>
              <w:rPr>
                <w:sz w:val="1"/>
                <w:szCs w:val="1"/>
                <w:color w:val="auto"/>
              </w:rPr>
            </w:pPr>
          </w:p>
        </w:tc>
      </w:tr>
      <w:tr>
        <w:trPr>
          <w:trHeight w:val="178"/>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0.9946</w:t>
            </w:r>
          </w:p>
        </w:tc>
        <w:tc>
          <w:tcPr>
            <w:tcW w:w="1020" w:type="dxa"/>
            <w:vAlign w:val="bottom"/>
          </w:tcPr>
          <w:p>
            <w:pPr>
              <w:ind w:left="240"/>
              <w:spacing w:after="0"/>
              <w:rPr>
                <w:sz w:val="20"/>
                <w:szCs w:val="20"/>
                <w:color w:val="auto"/>
              </w:rPr>
            </w:pPr>
            <w:r>
              <w:rPr>
                <w:rFonts w:ascii="Times New Roman" w:cs="Times New Roman" w:eastAsia="Times New Roman" w:hAnsi="Times New Roman"/>
                <w:sz w:val="12"/>
                <w:szCs w:val="12"/>
                <w:color w:val="0000FF"/>
              </w:rPr>
              <w:t>05/20/2026</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gridSpan w:val="4"/>
          </w:tcPr>
          <w:p>
            <w:pPr>
              <w:ind w:left="80"/>
              <w:spacing w:after="0" w:line="178" w:lineRule="exact"/>
              <w:rPr>
                <w:sz w:val="20"/>
                <w:szCs w:val="20"/>
                <w:color w:val="auto"/>
              </w:rPr>
            </w:pPr>
            <w:r>
              <w:rPr>
                <w:rFonts w:ascii="Times New Roman" w:cs="Times New Roman" w:eastAsia="Times New Roman" w:hAnsi="Times New Roman"/>
                <w:sz w:val="12"/>
                <w:szCs w:val="12"/>
                <w:color w:val="0000FF"/>
              </w:rPr>
              <w:t>67,000</w:t>
            </w:r>
            <w:r>
              <w:rPr>
                <w:rFonts w:ascii="Times New Roman" w:cs="Times New Roman" w:eastAsia="Times New Roman" w:hAnsi="Times New Roman"/>
                <w:sz w:val="19"/>
                <w:szCs w:val="19"/>
                <w:color w:val="008000"/>
                <w:vertAlign w:val="superscript"/>
              </w:rPr>
              <w:t>(1)</w:t>
            </w:r>
          </w:p>
        </w:tc>
        <w:tc>
          <w:tcPr>
            <w:tcW w:w="240" w:type="dxa"/>
            <w:vAlign w:val="bottom"/>
          </w:tcPr>
          <w:p>
            <w:pPr>
              <w:spacing w:after="0"/>
              <w:rPr>
                <w:sz w:val="15"/>
                <w:szCs w:val="15"/>
                <w:color w:val="auto"/>
              </w:rPr>
            </w:pPr>
          </w:p>
        </w:tc>
        <w:tc>
          <w:tcPr>
            <w:tcW w:w="72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05/19/2036</w:t>
            </w:r>
          </w:p>
        </w:tc>
        <w:tc>
          <w:tcPr>
            <w:tcW w:w="6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0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67,000</w:t>
            </w:r>
          </w:p>
        </w:tc>
        <w:tc>
          <w:tcPr>
            <w:tcW w:w="64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860" w:type="dxa"/>
            <w:vAlign w:val="bottom"/>
          </w:tcPr>
          <w:p>
            <w:pPr>
              <w:ind w:left="260"/>
              <w:spacing w:after="0"/>
              <w:rPr>
                <w:sz w:val="20"/>
                <w:szCs w:val="20"/>
                <w:color w:val="auto"/>
              </w:rPr>
            </w:pPr>
            <w:r>
              <w:rPr>
                <w:rFonts w:ascii="Times New Roman" w:cs="Times New Roman" w:eastAsia="Times New Roman" w:hAnsi="Times New Roman"/>
                <w:sz w:val="12"/>
                <w:szCs w:val="12"/>
                <w:color w:val="0000FF"/>
              </w:rPr>
              <w:t>67,000</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640" w:type="dxa"/>
            <w:vAlign w:val="bottom"/>
            <w:gridSpan w:val="3"/>
          </w:tcPr>
          <w:p>
            <w:pPr>
              <w:ind w:left="60"/>
              <w:spacing w:after="0" w:line="85" w:lineRule="exact"/>
              <w:rPr>
                <w:sz w:val="20"/>
                <w:szCs w:val="20"/>
                <w:color w:val="auto"/>
              </w:rPr>
            </w:pPr>
            <w:r>
              <w:rPr>
                <w:rFonts w:ascii="Times New Roman" w:cs="Times New Roman" w:eastAsia="Times New Roman" w:hAnsi="Times New Roman"/>
                <w:sz w:val="8"/>
                <w:szCs w:val="8"/>
                <w:color w:val="0000FF"/>
              </w:rPr>
              <w:t>Option</w:t>
            </w: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ind w:left="160"/>
              <w:spacing w:after="0" w:line="85" w:lineRule="exact"/>
              <w:rPr>
                <w:sz w:val="20"/>
                <w:szCs w:val="20"/>
                <w:color w:val="auto"/>
              </w:rPr>
            </w:pPr>
            <w:r>
              <w:rPr>
                <w:rFonts w:ascii="Times New Roman" w:cs="Times New Roman" w:eastAsia="Times New Roman" w:hAnsi="Times New Roman"/>
                <w:sz w:val="8"/>
                <w:szCs w:val="8"/>
                <w:color w:val="0000FF"/>
              </w:rPr>
              <w:t>Stock</w:t>
            </w: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20" w:type="dxa"/>
            <w:vAlign w:val="bottom"/>
          </w:tcPr>
          <w:p>
            <w:pPr>
              <w:ind w:left="60"/>
              <w:spacing w:after="0" w:line="85" w:lineRule="exact"/>
              <w:rPr>
                <w:sz w:val="20"/>
                <w:szCs w:val="20"/>
                <w:color w:val="auto"/>
              </w:rPr>
            </w:pPr>
            <w:r>
              <w:rPr>
                <w:rFonts w:ascii="Times New Roman" w:cs="Times New Roman" w:eastAsia="Times New Roman" w:hAnsi="Times New Roman"/>
                <w:sz w:val="9"/>
                <w:szCs w:val="9"/>
                <w:color w:val="008000"/>
              </w:rPr>
              <w:t>(7)(8)</w:t>
            </w:r>
          </w:p>
        </w:tc>
        <w:tc>
          <w:tcPr>
            <w:tcW w:w="0" w:type="dxa"/>
            <w:vAlign w:val="bottom"/>
          </w:tcPr>
          <w:p>
            <w:pPr>
              <w:spacing w:after="0"/>
              <w:rPr>
                <w:sz w:val="1"/>
                <w:szCs w:val="1"/>
                <w:color w:val="auto"/>
              </w:rPr>
            </w:pPr>
          </w:p>
        </w:tc>
      </w:tr>
      <w:tr>
        <w:trPr>
          <w:trHeight w:val="131"/>
        </w:trPr>
        <w:tc>
          <w:tcPr>
            <w:tcW w:w="64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(right to</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4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Qualified</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vMerge w:val="restart"/>
          </w:tcPr>
          <w:p>
            <w:pPr>
              <w:ind w:left="60"/>
              <w:spacing w:after="0"/>
              <w:rPr>
                <w:sz w:val="20"/>
                <w:szCs w:val="20"/>
                <w:color w:val="auto"/>
              </w:rPr>
            </w:pPr>
            <w:r>
              <w:rPr>
                <w:rFonts w:ascii="Times New Roman" w:cs="Times New Roman" w:eastAsia="Times New Roman" w:hAnsi="Times New Roman"/>
                <w:sz w:val="23"/>
                <w:szCs w:val="23"/>
                <w:color w:val="0000FF"/>
                <w:w w:val="92"/>
                <w:vertAlign w:val="subscript"/>
              </w:rPr>
              <w:t>See Footnotes</w:t>
            </w:r>
            <w:r>
              <w:rPr>
                <w:rFonts w:ascii="Times New Roman" w:cs="Times New Roman" w:eastAsia="Times New Roman" w:hAnsi="Times New Roman"/>
                <w:sz w:val="10"/>
                <w:szCs w:val="10"/>
                <w:color w:val="008000"/>
                <w:w w:val="92"/>
              </w:rPr>
              <w:t>(2)(4)(5)(6)(7)</w:t>
            </w:r>
          </w:p>
        </w:tc>
        <w:tc>
          <w:tcPr>
            <w:tcW w:w="0" w:type="dxa"/>
            <w:vAlign w:val="bottom"/>
          </w:tcPr>
          <w:p>
            <w:pPr>
              <w:spacing w:after="0"/>
              <w:rPr>
                <w:sz w:val="1"/>
                <w:szCs w:val="1"/>
                <w:color w:val="auto"/>
              </w:rPr>
            </w:pPr>
          </w:p>
        </w:tc>
      </w:tr>
      <w:tr>
        <w:trPr>
          <w:trHeight w:val="178"/>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0.9946</w:t>
            </w:r>
          </w:p>
        </w:tc>
        <w:tc>
          <w:tcPr>
            <w:tcW w:w="1020" w:type="dxa"/>
            <w:vAlign w:val="bottom"/>
          </w:tcPr>
          <w:p>
            <w:pPr>
              <w:ind w:left="240"/>
              <w:spacing w:after="0"/>
              <w:rPr>
                <w:sz w:val="20"/>
                <w:szCs w:val="20"/>
                <w:color w:val="auto"/>
              </w:rPr>
            </w:pPr>
            <w:r>
              <w:rPr>
                <w:rFonts w:ascii="Times New Roman" w:cs="Times New Roman" w:eastAsia="Times New Roman" w:hAnsi="Times New Roman"/>
                <w:sz w:val="12"/>
                <w:szCs w:val="12"/>
                <w:color w:val="0000FF"/>
              </w:rPr>
              <w:t>05/20/2026</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gridSpan w:val="4"/>
          </w:tcPr>
          <w:p>
            <w:pPr>
              <w:ind w:left="80"/>
              <w:spacing w:after="0" w:line="178" w:lineRule="exact"/>
              <w:rPr>
                <w:sz w:val="20"/>
                <w:szCs w:val="20"/>
                <w:color w:val="auto"/>
              </w:rPr>
            </w:pPr>
            <w:r>
              <w:rPr>
                <w:rFonts w:ascii="Times New Roman" w:cs="Times New Roman" w:eastAsia="Times New Roman" w:hAnsi="Times New Roman"/>
                <w:sz w:val="12"/>
                <w:szCs w:val="12"/>
                <w:color w:val="0000FF"/>
              </w:rPr>
              <w:t>67,000</w:t>
            </w:r>
            <w:r>
              <w:rPr>
                <w:rFonts w:ascii="Times New Roman" w:cs="Times New Roman" w:eastAsia="Times New Roman" w:hAnsi="Times New Roman"/>
                <w:sz w:val="19"/>
                <w:szCs w:val="19"/>
                <w:color w:val="008000"/>
                <w:vertAlign w:val="superscript"/>
              </w:rPr>
              <w:t>(1)</w:t>
            </w:r>
          </w:p>
        </w:tc>
        <w:tc>
          <w:tcPr>
            <w:tcW w:w="240" w:type="dxa"/>
            <w:vAlign w:val="bottom"/>
          </w:tcPr>
          <w:p>
            <w:pPr>
              <w:spacing w:after="0"/>
              <w:rPr>
                <w:sz w:val="15"/>
                <w:szCs w:val="15"/>
                <w:color w:val="auto"/>
              </w:rPr>
            </w:pPr>
          </w:p>
        </w:tc>
        <w:tc>
          <w:tcPr>
            <w:tcW w:w="72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05/19/2036</w:t>
            </w:r>
          </w:p>
        </w:tc>
        <w:tc>
          <w:tcPr>
            <w:tcW w:w="6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0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67,000</w:t>
            </w:r>
          </w:p>
        </w:tc>
        <w:tc>
          <w:tcPr>
            <w:tcW w:w="64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860" w:type="dxa"/>
            <w:vAlign w:val="bottom"/>
          </w:tcPr>
          <w:p>
            <w:pPr>
              <w:ind w:left="260"/>
              <w:spacing w:after="0"/>
              <w:rPr>
                <w:sz w:val="20"/>
                <w:szCs w:val="20"/>
                <w:color w:val="auto"/>
              </w:rPr>
            </w:pPr>
            <w:r>
              <w:rPr>
                <w:rFonts w:ascii="Times New Roman" w:cs="Times New Roman" w:eastAsia="Times New Roman" w:hAnsi="Times New Roman"/>
                <w:sz w:val="12"/>
                <w:szCs w:val="12"/>
                <w:color w:val="0000FF"/>
              </w:rPr>
              <w:t>67,000</w:t>
            </w: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640" w:type="dxa"/>
            <w:vAlign w:val="bottom"/>
            <w:gridSpan w:val="3"/>
          </w:tcPr>
          <w:p>
            <w:pPr>
              <w:ind w:left="60"/>
              <w:spacing w:after="0" w:line="85" w:lineRule="exact"/>
              <w:rPr>
                <w:sz w:val="20"/>
                <w:szCs w:val="20"/>
                <w:color w:val="auto"/>
              </w:rPr>
            </w:pPr>
            <w:r>
              <w:rPr>
                <w:rFonts w:ascii="Times New Roman" w:cs="Times New Roman" w:eastAsia="Times New Roman" w:hAnsi="Times New Roman"/>
                <w:sz w:val="8"/>
                <w:szCs w:val="8"/>
                <w:color w:val="0000FF"/>
              </w:rPr>
              <w:t>Option</w:t>
            </w: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ind w:left="160"/>
              <w:spacing w:after="0" w:line="85" w:lineRule="exact"/>
              <w:rPr>
                <w:sz w:val="20"/>
                <w:szCs w:val="20"/>
                <w:color w:val="auto"/>
              </w:rPr>
            </w:pPr>
            <w:r>
              <w:rPr>
                <w:rFonts w:ascii="Times New Roman" w:cs="Times New Roman" w:eastAsia="Times New Roman" w:hAnsi="Times New Roman"/>
                <w:sz w:val="8"/>
                <w:szCs w:val="8"/>
                <w:color w:val="0000FF"/>
              </w:rPr>
              <w:t>Stock</w:t>
            </w: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20" w:type="dxa"/>
            <w:vAlign w:val="bottom"/>
          </w:tcPr>
          <w:p>
            <w:pPr>
              <w:ind w:left="60"/>
              <w:spacing w:after="0" w:line="85" w:lineRule="exact"/>
              <w:rPr>
                <w:sz w:val="20"/>
                <w:szCs w:val="20"/>
                <w:color w:val="auto"/>
              </w:rPr>
            </w:pPr>
            <w:r>
              <w:rPr>
                <w:rFonts w:ascii="Times New Roman" w:cs="Times New Roman" w:eastAsia="Times New Roman" w:hAnsi="Times New Roman"/>
                <w:sz w:val="9"/>
                <w:szCs w:val="9"/>
                <w:color w:val="008000"/>
              </w:rPr>
              <w:t>(8)(9)</w:t>
            </w:r>
          </w:p>
        </w:tc>
        <w:tc>
          <w:tcPr>
            <w:tcW w:w="0" w:type="dxa"/>
            <w:vAlign w:val="bottom"/>
          </w:tcPr>
          <w:p>
            <w:pPr>
              <w:spacing w:after="0"/>
              <w:rPr>
                <w:sz w:val="1"/>
                <w:szCs w:val="1"/>
                <w:color w:val="auto"/>
              </w:rPr>
            </w:pPr>
          </w:p>
        </w:tc>
      </w:tr>
      <w:tr>
        <w:trPr>
          <w:trHeight w:val="131"/>
        </w:trPr>
        <w:tc>
          <w:tcPr>
            <w:tcW w:w="64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(right to</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380" w:type="dxa"/>
            <w:vAlign w:val="bottom"/>
            <w:tcBorders>
              <w:top w:val="single" w:sz="8" w:color="2C2C2C"/>
            </w:tcBorders>
            <w:gridSpan w:val="6"/>
          </w:tcPr>
          <w:p>
            <w:pPr>
              <w:ind w:left="60"/>
              <w:spacing w:after="0" w:line="209" w:lineRule="exact"/>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2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3260" w:type="dxa"/>
            <w:vAlign w:val="bottom"/>
            <w:gridSpan w:val="8"/>
          </w:tcPr>
          <w:p>
            <w:pPr>
              <w:spacing w:after="0" w:line="204"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BAKER BROS. ADVISORS LP</w:t>
              </w:r>
            </w:hyperlink>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2"/>
                <w:szCs w:val="12"/>
                <w:color w:val="auto"/>
              </w:rPr>
              <w:t>(First)</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2"/>
                <w:szCs w:val="12"/>
                <w:color w:val="auto"/>
                <w:w w:val="96"/>
              </w:rPr>
              <w:t>(Middle)</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326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860 WASHINGTON STREET, 3RD FLOOR</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20" w:type="dxa"/>
            <w:vAlign w:val="bottom"/>
            <w:gridSpan w:val="2"/>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NEW YORK</w:t>
            </w:r>
          </w:p>
        </w:tc>
        <w:tc>
          <w:tcPr>
            <w:tcW w:w="10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NY</w:t>
            </w:r>
          </w:p>
        </w:tc>
        <w:tc>
          <w:tcPr>
            <w:tcW w:w="98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0000FF"/>
              </w:rPr>
              <w:t>10014</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540" w:type="dxa"/>
            <w:vAlign w:val="bottom"/>
            <w:tcBorders>
              <w:bottom w:val="single" w:sz="8" w:color="9A9A9A"/>
            </w:tcBorders>
            <w:gridSpan w:val="2"/>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(City)</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2"/>
                <w:szCs w:val="12"/>
                <w:color w:val="auto"/>
              </w:rPr>
              <w:t>(State)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2"/>
                <w:szCs w:val="12"/>
                <w:color w:val="auto"/>
              </w:rPr>
              <w:t>(Zip)</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380" w:type="dxa"/>
            <w:vAlign w:val="bottom"/>
            <w:gridSpan w:val="6"/>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1260" w:type="dxa"/>
            <w:vAlign w:val="bottom"/>
            <w:gridSpan w:val="4"/>
          </w:tcPr>
          <w:p>
            <w:pPr>
              <w:spacing w:after="0" w:line="204" w:lineRule="exact"/>
              <w:rPr>
                <w:rFonts w:ascii="Times New Roman" w:cs="Times New Roman" w:eastAsia="Times New Roman" w:hAnsi="Times New Roman"/>
                <w:sz w:val="19"/>
                <w:szCs w:val="19"/>
                <w:color w:val="0000EE"/>
              </w:rPr>
            </w:pPr>
            <w:hyperlink r:id="rId15">
              <w:r>
                <w:rPr>
                  <w:rFonts w:ascii="Times New Roman" w:cs="Times New Roman" w:eastAsia="Times New Roman" w:hAnsi="Times New Roman"/>
                  <w:sz w:val="19"/>
                  <w:szCs w:val="19"/>
                  <w:color w:val="0000EE"/>
                </w:rPr>
                <w:t>667, L.P.</w:t>
              </w:r>
            </w:hyperlink>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2"/>
                <w:szCs w:val="12"/>
                <w:color w:val="auto"/>
              </w:rPr>
              <w:t>(First)</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2"/>
                <w:szCs w:val="12"/>
                <w:color w:val="auto"/>
                <w:w w:val="96"/>
              </w:rPr>
              <w:t>(Middle)</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326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860 WASHINGTON STREET, 3RD FLOOR</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20" w:type="dxa"/>
            <w:vAlign w:val="bottom"/>
            <w:gridSpan w:val="2"/>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NEW YORK</w:t>
            </w:r>
          </w:p>
        </w:tc>
        <w:tc>
          <w:tcPr>
            <w:tcW w:w="10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NY</w:t>
            </w:r>
          </w:p>
        </w:tc>
        <w:tc>
          <w:tcPr>
            <w:tcW w:w="98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0000FF"/>
              </w:rPr>
              <w:t>10014</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540" w:type="dxa"/>
            <w:vAlign w:val="bottom"/>
            <w:tcBorders>
              <w:bottom w:val="single" w:sz="8" w:color="9A9A9A"/>
            </w:tcBorders>
            <w:gridSpan w:val="2"/>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(City)</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2"/>
                <w:szCs w:val="12"/>
                <w:color w:val="auto"/>
              </w:rPr>
              <w:t>(State)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2"/>
                <w:szCs w:val="12"/>
                <w:color w:val="auto"/>
              </w:rPr>
              <w:t>(Zip)</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780" w:type="dxa"/>
            <w:vAlign w:val="bottom"/>
            <w:tcBorders>
              <w:bottom w:val="single" w:sz="8" w:color="2C2C2C"/>
            </w:tcBorders>
            <w:gridSpan w:val="4"/>
          </w:tcPr>
          <w:p>
            <w:pPr>
              <w:spacing w:after="0"/>
              <w:rPr>
                <w:sz w:val="6"/>
                <w:szCs w:val="6"/>
                <w:color w:val="auto"/>
              </w:rPr>
            </w:pPr>
          </w:p>
        </w:tc>
        <w:tc>
          <w:tcPr>
            <w:tcW w:w="160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380" w:type="dxa"/>
            <w:vAlign w:val="bottom"/>
            <w:gridSpan w:val="6"/>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3260" w:type="dxa"/>
            <w:vAlign w:val="bottom"/>
            <w:gridSpan w:val="8"/>
          </w:tcPr>
          <w:p>
            <w:pPr>
              <w:spacing w:after="0" w:line="204" w:lineRule="exact"/>
              <w:rPr>
                <w:rFonts w:ascii="Times New Roman" w:cs="Times New Roman" w:eastAsia="Times New Roman" w:hAnsi="Times New Roman"/>
                <w:sz w:val="19"/>
                <w:szCs w:val="19"/>
                <w:color w:val="0000EE"/>
              </w:rPr>
            </w:pPr>
            <w:hyperlink r:id="rId16">
              <w:r>
                <w:rPr>
                  <w:rFonts w:ascii="Times New Roman" w:cs="Times New Roman" w:eastAsia="Times New Roman" w:hAnsi="Times New Roman"/>
                  <w:sz w:val="19"/>
                  <w:szCs w:val="19"/>
                  <w:color w:val="0000EE"/>
                </w:rPr>
                <w:t>Baker Bros. Advisors (GP) LLC</w:t>
              </w:r>
            </w:hyperlink>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2"/>
                <w:szCs w:val="12"/>
                <w:color w:val="auto"/>
              </w:rPr>
              <w:t>(First)</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2"/>
                <w:szCs w:val="12"/>
                <w:color w:val="auto"/>
                <w:w w:val="96"/>
              </w:rPr>
              <w:t>(Middle)</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860 WASHINGTON STREET, 3RD FLOOR</w:t>
      </w:r>
    </w:p>
    <w:p>
      <w:pPr>
        <w:sectPr>
          <w:pgSz w:w="11900" w:h="16838" w:orient="portrait"/>
          <w:cols w:equalWidth="0" w:num="1">
            <w:col w:w="11080"/>
          </w:cols>
          <w:pgMar w:left="460" w:top="210" w:right="359" w:bottom="0" w:gutter="0" w:footer="0" w:header="0"/>
          <w:type w:val="continuous"/>
        </w:sectPr>
      </w:pPr>
    </w:p>
    <w:p>
      <w:pPr>
        <w:spacing w:after="0" w:line="315" w:lineRule="exact"/>
        <w:rPr>
          <w:sz w:val="20"/>
          <w:szCs w:val="20"/>
          <w:color w:val="auto"/>
        </w:rPr>
      </w:pPr>
    </w:p>
    <w:p>
      <w:pPr>
        <w:ind w:left="60"/>
        <w:spacing w:after="0"/>
        <w:rPr>
          <w:sz w:val="20"/>
          <w:szCs w:val="20"/>
          <w:color w:val="auto"/>
        </w:rPr>
      </w:pPr>
      <w:r>
        <w:rPr>
          <w:rFonts w:ascii="Arial" w:cs="Arial" w:eastAsia="Arial" w:hAnsi="Arial"/>
          <w:sz w:val="11"/>
          <w:szCs w:val="11"/>
          <w:color w:val="auto"/>
        </w:rPr>
        <w:t>(Street)</w:t>
      </w:r>
    </w:p>
    <w:p>
      <w:pPr>
        <w:sectPr>
          <w:pgSz w:w="11900" w:h="16838" w:orient="portrait"/>
          <w:cols w:equalWidth="0" w:num="1">
            <w:col w:w="11080"/>
          </w:cols>
          <w:pgMar w:left="460" w:top="210"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0"/>
        </w:trPr>
        <w:tc>
          <w:tcPr>
            <w:tcW w:w="100" w:type="dxa"/>
            <w:vAlign w:val="bottom"/>
          </w:tcPr>
          <w:p>
            <w:pPr>
              <w:spacing w:after="0"/>
              <w:rPr>
                <w:sz w:val="17"/>
                <w:szCs w:val="17"/>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5"/>
                <w:szCs w:val="15"/>
                <w:color w:val="0000FF"/>
              </w:rPr>
              <w:t>10014</w:t>
            </w:r>
          </w:p>
        </w:tc>
        <w:tc>
          <w:tcPr>
            <w:tcW w:w="80" w:type="dxa"/>
            <w:vAlign w:val="bottom"/>
          </w:tcPr>
          <w:p>
            <w:pPr>
              <w:spacing w:after="0"/>
              <w:rPr>
                <w:sz w:val="17"/>
                <w:szCs w:val="17"/>
                <w:color w:val="auto"/>
              </w:rPr>
            </w:pPr>
          </w:p>
        </w:tc>
      </w:tr>
      <w:tr>
        <w:trPr>
          <w:trHeight w:val="137"/>
        </w:trPr>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76"/>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(City)</w:t>
            </w:r>
          </w:p>
        </w:tc>
        <w:tc>
          <w:tcPr>
            <w:tcW w:w="146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440" w:type="dxa"/>
            <w:vAlign w:val="bottom"/>
            <w:gridSpan w:val="2"/>
          </w:tcPr>
          <w:p>
            <w:pPr>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5"/>
        </w:trPr>
        <w:tc>
          <w:tcPr>
            <w:tcW w:w="29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4"/>
        </w:trPr>
        <w:tc>
          <w:tcPr>
            <w:tcW w:w="100" w:type="dxa"/>
            <w:vAlign w:val="bottom"/>
          </w:tcPr>
          <w:p>
            <w:pPr>
              <w:spacing w:after="0"/>
              <w:rPr>
                <w:sz w:val="17"/>
                <w:szCs w:val="17"/>
                <w:color w:val="auto"/>
              </w:rPr>
            </w:pPr>
          </w:p>
        </w:tc>
        <w:tc>
          <w:tcPr>
            <w:tcW w:w="2820" w:type="dxa"/>
            <w:vAlign w:val="bottom"/>
            <w:gridSpan w:val="5"/>
          </w:tcPr>
          <w:p>
            <w:pPr>
              <w:spacing w:after="0" w:line="204" w:lineRule="exact"/>
              <w:rPr>
                <w:rFonts w:ascii="Times New Roman" w:cs="Times New Roman" w:eastAsia="Times New Roman" w:hAnsi="Times New Roman"/>
                <w:sz w:val="19"/>
                <w:szCs w:val="19"/>
                <w:color w:val="0000EE"/>
              </w:rPr>
            </w:pPr>
            <w:hyperlink r:id="rId17">
              <w:r>
                <w:rPr>
                  <w:rFonts w:ascii="Times New Roman" w:cs="Times New Roman" w:eastAsia="Times New Roman" w:hAnsi="Times New Roman"/>
                  <w:sz w:val="19"/>
                  <w:szCs w:val="19"/>
                  <w:color w:val="0000EE"/>
                </w:rPr>
                <w:t>Baker Brothers Life Sciences LP</w:t>
              </w:r>
            </w:hyperlink>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16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76"/>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(Last)</w:t>
            </w:r>
          </w:p>
        </w:tc>
        <w:tc>
          <w:tcPr>
            <w:tcW w:w="146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440" w:type="dxa"/>
            <w:vAlign w:val="bottom"/>
            <w:gridSpan w:val="2"/>
          </w:tcPr>
          <w:p>
            <w:pPr>
              <w:spacing w:after="0"/>
              <w:rPr>
                <w:sz w:val="20"/>
                <w:szCs w:val="20"/>
                <w:color w:val="auto"/>
              </w:rPr>
            </w:pPr>
            <w:r>
              <w:rPr>
                <w:rFonts w:ascii="Arial" w:cs="Arial" w:eastAsia="Arial" w:hAnsi="Arial"/>
                <w:sz w:val="12"/>
                <w:szCs w:val="12"/>
                <w:color w:val="auto"/>
              </w:rPr>
              <w:t>(Middle)</w:t>
            </w:r>
          </w:p>
        </w:tc>
      </w:tr>
      <w:tr>
        <w:trPr>
          <w:trHeight w:val="246"/>
        </w:trPr>
        <w:tc>
          <w:tcPr>
            <w:tcW w:w="100" w:type="dxa"/>
            <w:vAlign w:val="bottom"/>
          </w:tcPr>
          <w:p>
            <w:pPr>
              <w:spacing w:after="0"/>
              <w:rPr>
                <w:sz w:val="21"/>
                <w:szCs w:val="21"/>
                <w:color w:val="auto"/>
              </w:rPr>
            </w:pPr>
          </w:p>
        </w:tc>
        <w:tc>
          <w:tcPr>
            <w:tcW w:w="282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860 WASHINGTON STREET, 3RD FLOOR</w:t>
            </w: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84"/>
        </w:trPr>
        <w:tc>
          <w:tcPr>
            <w:tcW w:w="120" w:type="dxa"/>
            <w:vAlign w:val="bottom"/>
            <w:gridSpan w:val="2"/>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1"/>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5"/>
                <w:szCs w:val="15"/>
                <w:color w:val="0000FF"/>
              </w:rPr>
              <w:t>10014</w:t>
            </w:r>
          </w:p>
        </w:tc>
        <w:tc>
          <w:tcPr>
            <w:tcW w:w="8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240" w:type="dxa"/>
            <w:vAlign w:val="bottom"/>
            <w:tcBorders>
              <w:bottom w:val="single" w:sz="8" w:color="9A9A9A"/>
            </w:tcBorders>
            <w:gridSpan w:val="2"/>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76"/>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(City)</w:t>
            </w:r>
          </w:p>
        </w:tc>
        <w:tc>
          <w:tcPr>
            <w:tcW w:w="146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440" w:type="dxa"/>
            <w:vAlign w:val="bottom"/>
            <w:gridSpan w:val="2"/>
          </w:tcPr>
          <w:p>
            <w:pPr>
              <w:spacing w:after="0"/>
              <w:rPr>
                <w:sz w:val="20"/>
                <w:szCs w:val="20"/>
                <w:color w:val="auto"/>
              </w:rPr>
            </w:pPr>
            <w:r>
              <w:rPr>
                <w:rFonts w:ascii="Arial" w:cs="Arial" w:eastAsia="Arial" w:hAnsi="Arial"/>
                <w:sz w:val="12"/>
                <w:szCs w:val="12"/>
                <w:color w:val="auto"/>
              </w:rPr>
              <w:t>(Zip)</w:t>
            </w:r>
          </w:p>
        </w:tc>
      </w:tr>
      <w:tr>
        <w:trPr>
          <w:trHeight w:val="73"/>
        </w:trPr>
        <w:tc>
          <w:tcPr>
            <w:tcW w:w="1340" w:type="dxa"/>
            <w:vAlign w:val="bottom"/>
            <w:tcBorders>
              <w:bottom w:val="single" w:sz="8" w:color="2C2C2C"/>
            </w:tcBorders>
            <w:gridSpan w:val="3"/>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5"/>
        </w:trPr>
        <w:tc>
          <w:tcPr>
            <w:tcW w:w="29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4"/>
        </w:trPr>
        <w:tc>
          <w:tcPr>
            <w:tcW w:w="100" w:type="dxa"/>
            <w:vAlign w:val="bottom"/>
          </w:tcPr>
          <w:p>
            <w:pPr>
              <w:spacing w:after="0"/>
              <w:rPr>
                <w:sz w:val="17"/>
                <w:szCs w:val="17"/>
                <w:color w:val="auto"/>
              </w:rPr>
            </w:pPr>
          </w:p>
        </w:tc>
        <w:tc>
          <w:tcPr>
            <w:tcW w:w="1360" w:type="dxa"/>
            <w:vAlign w:val="bottom"/>
            <w:gridSpan w:val="3"/>
          </w:tcPr>
          <w:p>
            <w:pPr>
              <w:spacing w:after="0" w:line="204" w:lineRule="exact"/>
              <w:rPr>
                <w:rFonts w:ascii="Times New Roman" w:cs="Times New Roman" w:eastAsia="Times New Roman" w:hAnsi="Times New Roman"/>
                <w:sz w:val="19"/>
                <w:szCs w:val="19"/>
                <w:color w:val="0000EE"/>
              </w:rPr>
            </w:pPr>
            <w:hyperlink r:id="rId18">
              <w:r>
                <w:rPr>
                  <w:rFonts w:ascii="Times New Roman" w:cs="Times New Roman" w:eastAsia="Times New Roman" w:hAnsi="Times New Roman"/>
                  <w:sz w:val="19"/>
                  <w:szCs w:val="19"/>
                  <w:color w:val="0000EE"/>
                </w:rPr>
                <w:t>BAKER FELIX</w:t>
              </w:r>
            </w:hyperlink>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76"/>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(Last)</w:t>
            </w:r>
          </w:p>
        </w:tc>
        <w:tc>
          <w:tcPr>
            <w:tcW w:w="146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440" w:type="dxa"/>
            <w:vAlign w:val="bottom"/>
            <w:gridSpan w:val="2"/>
          </w:tcPr>
          <w:p>
            <w:pPr>
              <w:spacing w:after="0"/>
              <w:rPr>
                <w:sz w:val="20"/>
                <w:szCs w:val="20"/>
                <w:color w:val="auto"/>
              </w:rPr>
            </w:pPr>
            <w:r>
              <w:rPr>
                <w:rFonts w:ascii="Arial" w:cs="Arial" w:eastAsia="Arial" w:hAnsi="Arial"/>
                <w:sz w:val="12"/>
                <w:szCs w:val="12"/>
                <w:color w:val="auto"/>
              </w:rPr>
              <w:t>(Middle)</w:t>
            </w:r>
          </w:p>
        </w:tc>
      </w:tr>
      <w:tr>
        <w:trPr>
          <w:trHeight w:val="246"/>
        </w:trPr>
        <w:tc>
          <w:tcPr>
            <w:tcW w:w="100" w:type="dxa"/>
            <w:vAlign w:val="bottom"/>
          </w:tcPr>
          <w:p>
            <w:pPr>
              <w:spacing w:after="0"/>
              <w:rPr>
                <w:sz w:val="21"/>
                <w:szCs w:val="21"/>
                <w:color w:val="auto"/>
              </w:rPr>
            </w:pPr>
          </w:p>
        </w:tc>
        <w:tc>
          <w:tcPr>
            <w:tcW w:w="282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860 WASHINGTON STREET, 3RD FLOOR</w:t>
            </w: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84"/>
        </w:trPr>
        <w:tc>
          <w:tcPr>
            <w:tcW w:w="120" w:type="dxa"/>
            <w:vAlign w:val="bottom"/>
            <w:gridSpan w:val="2"/>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1"/>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5"/>
                <w:szCs w:val="15"/>
                <w:color w:val="0000FF"/>
              </w:rPr>
              <w:t>10014</w:t>
            </w:r>
          </w:p>
        </w:tc>
        <w:tc>
          <w:tcPr>
            <w:tcW w:w="8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240" w:type="dxa"/>
            <w:vAlign w:val="bottom"/>
            <w:tcBorders>
              <w:bottom w:val="single" w:sz="8" w:color="9A9A9A"/>
            </w:tcBorders>
            <w:gridSpan w:val="2"/>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76"/>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(City)</w:t>
            </w:r>
          </w:p>
        </w:tc>
        <w:tc>
          <w:tcPr>
            <w:tcW w:w="146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440" w:type="dxa"/>
            <w:vAlign w:val="bottom"/>
            <w:gridSpan w:val="2"/>
          </w:tcPr>
          <w:p>
            <w:pPr>
              <w:spacing w:after="0"/>
              <w:rPr>
                <w:sz w:val="20"/>
                <w:szCs w:val="20"/>
                <w:color w:val="auto"/>
              </w:rPr>
            </w:pPr>
            <w:r>
              <w:rPr>
                <w:rFonts w:ascii="Arial" w:cs="Arial" w:eastAsia="Arial" w:hAnsi="Arial"/>
                <w:sz w:val="12"/>
                <w:szCs w:val="12"/>
                <w:color w:val="auto"/>
              </w:rPr>
              <w:t>(Zip)</w:t>
            </w:r>
          </w:p>
        </w:tc>
      </w:tr>
      <w:tr>
        <w:trPr>
          <w:trHeight w:val="73"/>
        </w:trPr>
        <w:tc>
          <w:tcPr>
            <w:tcW w:w="1340" w:type="dxa"/>
            <w:vAlign w:val="bottom"/>
            <w:tcBorders>
              <w:bottom w:val="single" w:sz="8" w:color="2C2C2C"/>
            </w:tcBorders>
            <w:gridSpan w:val="3"/>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5"/>
        </w:trPr>
        <w:tc>
          <w:tcPr>
            <w:tcW w:w="29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4"/>
        </w:trPr>
        <w:tc>
          <w:tcPr>
            <w:tcW w:w="100" w:type="dxa"/>
            <w:vAlign w:val="bottom"/>
          </w:tcPr>
          <w:p>
            <w:pPr>
              <w:spacing w:after="0"/>
              <w:rPr>
                <w:sz w:val="17"/>
                <w:szCs w:val="17"/>
                <w:color w:val="auto"/>
              </w:rPr>
            </w:pPr>
          </w:p>
        </w:tc>
        <w:tc>
          <w:tcPr>
            <w:tcW w:w="1360" w:type="dxa"/>
            <w:vAlign w:val="bottom"/>
            <w:gridSpan w:val="3"/>
          </w:tcPr>
          <w:p>
            <w:pPr>
              <w:spacing w:after="0" w:line="204" w:lineRule="exact"/>
              <w:rPr>
                <w:rFonts w:ascii="Times New Roman" w:cs="Times New Roman" w:eastAsia="Times New Roman" w:hAnsi="Times New Roman"/>
                <w:sz w:val="19"/>
                <w:szCs w:val="19"/>
                <w:color w:val="0000EE"/>
                <w:w w:val="98"/>
              </w:rPr>
            </w:pPr>
            <w:hyperlink r:id="rId19">
              <w:r>
                <w:rPr>
                  <w:rFonts w:ascii="Times New Roman" w:cs="Times New Roman" w:eastAsia="Times New Roman" w:hAnsi="Times New Roman"/>
                  <w:sz w:val="19"/>
                  <w:szCs w:val="19"/>
                  <w:color w:val="0000EE"/>
                  <w:w w:val="98"/>
                </w:rPr>
                <w:t>BAKER JULIAN</w:t>
              </w:r>
            </w:hyperlink>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76"/>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(Last)</w:t>
            </w:r>
          </w:p>
        </w:tc>
        <w:tc>
          <w:tcPr>
            <w:tcW w:w="146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440" w:type="dxa"/>
            <w:vAlign w:val="bottom"/>
            <w:gridSpan w:val="2"/>
          </w:tcPr>
          <w:p>
            <w:pPr>
              <w:spacing w:after="0"/>
              <w:rPr>
                <w:sz w:val="20"/>
                <w:szCs w:val="20"/>
                <w:color w:val="auto"/>
              </w:rPr>
            </w:pPr>
            <w:r>
              <w:rPr>
                <w:rFonts w:ascii="Arial" w:cs="Arial" w:eastAsia="Arial" w:hAnsi="Arial"/>
                <w:sz w:val="12"/>
                <w:szCs w:val="12"/>
                <w:color w:val="auto"/>
              </w:rPr>
              <w:t>(Middle)</w:t>
            </w:r>
          </w:p>
        </w:tc>
      </w:tr>
      <w:tr>
        <w:trPr>
          <w:trHeight w:val="246"/>
        </w:trPr>
        <w:tc>
          <w:tcPr>
            <w:tcW w:w="100" w:type="dxa"/>
            <w:vAlign w:val="bottom"/>
          </w:tcPr>
          <w:p>
            <w:pPr>
              <w:spacing w:after="0"/>
              <w:rPr>
                <w:sz w:val="21"/>
                <w:szCs w:val="21"/>
                <w:color w:val="auto"/>
              </w:rPr>
            </w:pPr>
          </w:p>
        </w:tc>
        <w:tc>
          <w:tcPr>
            <w:tcW w:w="282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860 WASHINGTON STREET, 3RD FLOOR</w:t>
            </w: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84"/>
        </w:trPr>
        <w:tc>
          <w:tcPr>
            <w:tcW w:w="120" w:type="dxa"/>
            <w:vAlign w:val="bottom"/>
            <w:gridSpan w:val="2"/>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1"/>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5"/>
                <w:szCs w:val="15"/>
                <w:color w:val="0000FF"/>
              </w:rPr>
              <w:t>10014</w:t>
            </w:r>
          </w:p>
        </w:tc>
        <w:tc>
          <w:tcPr>
            <w:tcW w:w="8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240" w:type="dxa"/>
            <w:vAlign w:val="bottom"/>
            <w:tcBorders>
              <w:bottom w:val="single" w:sz="8" w:color="9A9A9A"/>
            </w:tcBorders>
            <w:gridSpan w:val="2"/>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76"/>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(City)</w:t>
            </w:r>
          </w:p>
        </w:tc>
        <w:tc>
          <w:tcPr>
            <w:tcW w:w="146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440" w:type="dxa"/>
            <w:vAlign w:val="bottom"/>
            <w:gridSpan w:val="2"/>
          </w:tcPr>
          <w:p>
            <w:pPr>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-4822190</wp:posOffset>
            </wp:positionV>
            <wp:extent cx="2810510" cy="4894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2810510" cy="4894580"/>
                    </a:xfrm>
                    <a:prstGeom prst="rect">
                      <a:avLst/>
                    </a:prstGeom>
                    <a:noFill/>
                  </pic:spPr>
                </pic:pic>
              </a:graphicData>
            </a:graphic>
          </wp:anchor>
        </w:drawing>
      </w:r>
    </w:p>
    <w:p>
      <w:pPr>
        <w:spacing w:after="0" w:line="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2" w:lineRule="exact"/>
        <w:rPr>
          <w:sz w:val="20"/>
          <w:szCs w:val="20"/>
          <w:color w:val="auto"/>
        </w:rPr>
      </w:pPr>
    </w:p>
    <w:p>
      <w:pPr>
        <w:jc w:val="both"/>
        <w:ind w:left="40" w:right="60" w:hanging="9"/>
        <w:spacing w:after="0" w:line="238"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67,000 non-qualified stock options ("Stock Options") exercisable solely into common stock ("Common Stock") of TScan Therapeutics, Inc. (the "Issuer") granted by the Issuer to Dr. Stephen R. Biggar, a full-time employee of Baker Bros. Advisors LP (the "Adviser"), on May 20, 2026, in his capacity as a director of the Issuer, pursuant to the Issuer's Amended and Restated 2021 Equity Incentive Plan (the "Incentive Plan"). The Stock Options have a strike price of $0.9946 per share, and vest on the earlier of the first anniversary of the grant date or the date of the next annual meeting of stockholders of the Issuer, subject to Dr. Biggar's continued service on the board of directors of the Issuer (the "Board") through the vesting date. The Stock Options expire on May 19, 2036.</w:t>
      </w:r>
    </w:p>
    <w:p>
      <w:pPr>
        <w:spacing w:after="0" w:line="24" w:lineRule="exact"/>
        <w:rPr>
          <w:rFonts w:ascii="Times New Roman" w:cs="Times New Roman" w:eastAsia="Times New Roman" w:hAnsi="Times New Roman"/>
          <w:sz w:val="12"/>
          <w:szCs w:val="12"/>
          <w:color w:val="008000"/>
        </w:rPr>
      </w:pPr>
    </w:p>
    <w:p>
      <w:pPr>
        <w:ind w:left="160" w:hanging="129"/>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Dr. Biggar serves on the Board as a representative of 667, L.P. ("667") and Baker Brothers Life Sciences, L.P. ("Life Sciences", and together with 667, the "Funds") and their affiliates and control persons.</w:t>
      </w:r>
    </w:p>
    <w:p>
      <w:pPr>
        <w:spacing w:after="0" w:line="40" w:lineRule="exact"/>
        <w:rPr>
          <w:rFonts w:ascii="Times New Roman" w:cs="Times New Roman" w:eastAsia="Times New Roman" w:hAnsi="Times New Roman"/>
          <w:sz w:val="12"/>
          <w:szCs w:val="12"/>
          <w:color w:val="008000"/>
        </w:rPr>
      </w:pPr>
    </w:p>
    <w:p>
      <w:pPr>
        <w:ind w:left="40" w:right="240" w:hanging="9"/>
        <w:spacing w:after="0" w:line="242"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After giving effect to the transaction reported herein and as a result of their ownership interest in (i) Baker Biotech Capital, L.P. and (ii) 667, Julian C. Baker and Felix J. Baker each may be deemed to have an indirect pecuniary interest in the Stock Options reported in column 9 of Table II held for the benefit of 667, a limited partnership of which the sole general partner is Baker Biotech Capital, L.P., a limited partnership of which the sole general partner is Baker Biotech Capital (GP), LLC, due to their interest in 667 and Baker Biotech Capital, L.P.'s right to receive an allocation of a portion of the profits from 667.</w:t>
      </w:r>
    </w:p>
    <w:p>
      <w:pPr>
        <w:spacing w:after="0" w:line="23" w:lineRule="exact"/>
        <w:rPr>
          <w:rFonts w:ascii="Times New Roman" w:cs="Times New Roman" w:eastAsia="Times New Roman" w:hAnsi="Times New Roman"/>
          <w:sz w:val="12"/>
          <w:szCs w:val="12"/>
          <w:color w:val="008000"/>
        </w:rPr>
      </w:pPr>
    </w:p>
    <w:p>
      <w:pPr>
        <w:ind w:left="40" w:right="60" w:hanging="9"/>
        <w:spacing w:after="0" w:line="238"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Adviser serves as the investment adviser to the Funds. In connection with the services provided by the Adviser, the Adviser receives an asset-based management fee that does not confer any pecuniary interest in the securities held for the benefit of the Funds. Baker Bros. Advisors (GP) LLC ("the Adviser GP") is the Adviser's sole general partner. Julian C. Baker and Felix J. Baker are managing members of the Adviser GP. The Adviser has complete and unlimited discretion and authority with respect to the investment and voting power of the securities held for the benefit of the Funds. The general partners of the Funds relinquished to the Adviser all discretion and authority with respect to the investment and voting power of the securities held for the benefit of the Funds.</w:t>
      </w:r>
    </w:p>
    <w:p>
      <w:pPr>
        <w:spacing w:after="0" w:line="24" w:lineRule="exact"/>
        <w:rPr>
          <w:rFonts w:ascii="Times New Roman" w:cs="Times New Roman" w:eastAsia="Times New Roman" w:hAnsi="Times New Roman"/>
          <w:sz w:val="12"/>
          <w:szCs w:val="12"/>
          <w:color w:val="008000"/>
        </w:rPr>
      </w:pPr>
    </w:p>
    <w:p>
      <w:pPr>
        <w:ind w:left="40" w:right="40" w:hanging="9"/>
        <w:spacing w:after="0" w:line="256"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Julian C. Baker, Felix J. Baker, the Adviser GP and the Adviser disclaim beneficial ownership of the securities held for the benefit of the Funds except to the extent of their pecuniary interest therein, and this report shall not be deemed an admission that any of Julian C. Baker, Felix J. Baker, the Adviser GP or the Adviser is a beneficial owner of such securities for purposes of Section 16 or any other purpose.</w:t>
      </w:r>
    </w:p>
    <w:p>
      <w:pPr>
        <w:spacing w:after="0" w:line="15" w:lineRule="exact"/>
        <w:rPr>
          <w:rFonts w:ascii="Times New Roman" w:cs="Times New Roman" w:eastAsia="Times New Roman" w:hAnsi="Times New Roman"/>
          <w:sz w:val="12"/>
          <w:szCs w:val="12"/>
          <w:color w:val="008000"/>
        </w:rPr>
      </w:pPr>
    </w:p>
    <w:p>
      <w:pPr>
        <w:ind w:left="40" w:right="100" w:hanging="9"/>
        <w:spacing w:after="0" w:line="238"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policies of the Adviser, Dr. Biggar does not have a right to any of the Issuer's securities issued as compensation for his service on the Board and the Funds are entitled to an indirect proportionate pecuniary interest in such securities. The Funds each own an indirect proportionate pecuniary interest in such securities. Solely as a result of their ownership interest in (i) the general partners of the Funds and (ii) the Funds, Felix J. Baker and Julian C. Baker may be deemed to have an indirect pecuniary interest in the shares of Common Stock, Stock Options and Common Stock issued upon exercise of Stock Options (i.e. no direct pecuniary interest) issued as compensation for such Board service.</w:t>
      </w:r>
    </w:p>
    <w:p>
      <w:pPr>
        <w:spacing w:after="0" w:line="24" w:lineRule="exact"/>
        <w:rPr>
          <w:rFonts w:ascii="Times New Roman" w:cs="Times New Roman" w:eastAsia="Times New Roman" w:hAnsi="Times New Roman"/>
          <w:sz w:val="12"/>
          <w:szCs w:val="12"/>
          <w:color w:val="008000"/>
        </w:rPr>
      </w:pPr>
    </w:p>
    <w:p>
      <w:pPr>
        <w:ind w:left="160" w:hanging="129"/>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policies of the Adviser, the Adviser has voting and dispositive power over the Stock Options and any Common Stock received as a result of the exercise of Stock Options.</w:t>
      </w:r>
    </w:p>
    <w:p>
      <w:pPr>
        <w:spacing w:after="0" w:line="40" w:lineRule="exact"/>
        <w:rPr>
          <w:rFonts w:ascii="Times New Roman" w:cs="Times New Roman" w:eastAsia="Times New Roman" w:hAnsi="Times New Roman"/>
          <w:sz w:val="12"/>
          <w:szCs w:val="12"/>
          <w:color w:val="008000"/>
        </w:rPr>
      </w:pPr>
    </w:p>
    <w:p>
      <w:pPr>
        <w:ind w:left="40" w:hanging="9"/>
        <w:spacing w:after="0" w:line="256"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acquisition of Stock Options reported on this form represents a single grant to Dr. Biggar of 67,000 Stock Options on Table II. This grant of 67,000 Stock Options for Dr. Biggar is reported for each of the Funds as each has an indirect pecuniary interest in such securities.</w:t>
      </w:r>
    </w:p>
    <w:p>
      <w:pPr>
        <w:spacing w:after="0" w:line="15" w:lineRule="exact"/>
        <w:rPr>
          <w:rFonts w:ascii="Times New Roman" w:cs="Times New Roman" w:eastAsia="Times New Roman" w:hAnsi="Times New Roman"/>
          <w:sz w:val="12"/>
          <w:szCs w:val="12"/>
          <w:color w:val="008000"/>
        </w:rPr>
      </w:pPr>
    </w:p>
    <w:p>
      <w:pPr>
        <w:ind w:left="40" w:right="40" w:hanging="9"/>
        <w:spacing w:after="0" w:line="238"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After giving effect to the transaction reported herein and as a result of their ownership interest in (i) Baker Brothers Life Sciences Capital, L.P. and (ii) Life Sciences, Julian C. Baker and Felix J. Baker each may be deemed to have an indirect pecuniary interest in the Stock Options reported in column 9 of Table II held for the benefit of Life Sciences, a limited partnership of which the sole general partner is Baker Brothers Life Sciences Capital, L.P., a limited partnership of which the sole general partner is Baker Brothers Life Sciences Capital (GP), LLC, due to their interest in Life Sciences and Baker Brothers Life Sciences Capital, L.P.'s right to receive an allocation of a portion of the profits from Life Sciences.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Remarks:</w:t>
      </w:r>
    </w:p>
    <w:p>
      <w:pPr>
        <w:spacing w:after="0" w:line="56" w:lineRule="exact"/>
        <w:rPr>
          <w:sz w:val="20"/>
          <w:szCs w:val="20"/>
          <w:color w:val="auto"/>
        </w:rPr>
      </w:pPr>
    </w:p>
    <w:p>
      <w:pPr>
        <w:ind w:left="40" w:right="100"/>
        <w:spacing w:after="0" w:line="256" w:lineRule="auto"/>
        <w:rPr>
          <w:sz w:val="20"/>
          <w:szCs w:val="20"/>
          <w:color w:val="auto"/>
        </w:rPr>
      </w:pPr>
      <w:r>
        <w:rPr>
          <w:rFonts w:ascii="Times New Roman" w:cs="Times New Roman" w:eastAsia="Times New Roman" w:hAnsi="Times New Roman"/>
          <w:sz w:val="12"/>
          <w:szCs w:val="12"/>
          <w:color w:val="008000"/>
        </w:rPr>
        <w:t>Dr. Stephen R. Biggar, a full-time employee of Baker Bros. Advisors LP, is a director of TScan Therapeutics, Inc. (the "Issuer"). By virtue of their representation on the board of directors of the Issuer, for purposes of Section 16 of the Securities Exchange Act of 1934, as amended, the reporting persons are deemed directors by deputization of the Issuer.</w:t>
      </w:r>
    </w:p>
    <w:p>
      <w:pPr>
        <w:sectPr>
          <w:pgSz w:w="11900" w:h="16838" w:orient="portrait"/>
          <w:cols w:equalWidth="0" w:num="1">
            <w:col w:w="10940"/>
          </w:cols>
          <w:pgMar w:left="460" w:top="128" w:right="499" w:bottom="0" w:gutter="0" w:footer="0" w:header="0"/>
        </w:sectPr>
      </w:pPr>
    </w:p>
    <w:p>
      <w:pPr>
        <w:spacing w:after="0" w:line="3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By: Baker Bros. Advisors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11696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169670" cy="7620"/>
                    </a:xfrm>
                    <a:prstGeom prst="rect">
                      <a:avLst/>
                    </a:prstGeom>
                    <a:noFill/>
                  </pic:spPr>
                </pic:pic>
              </a:graphicData>
            </a:graphic>
          </wp:anchor>
        </w:drawing>
      </w:r>
    </w:p>
    <w:p>
      <w:pPr>
        <w:spacing w:after="0" w:line="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Name: Scott L. Lessing,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1880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18808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President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1506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150620" cy="7620"/>
                    </a:xfrm>
                    <a:prstGeom prst="rect">
                      <a:avLst/>
                    </a:prstGeom>
                    <a:noFill/>
                  </pic:spPr>
                </pic:pic>
              </a:graphicData>
            </a:graphic>
          </wp:anchor>
        </w:drawing>
      </w:r>
    </w:p>
    <w:p>
      <w:pPr>
        <w:spacing w:after="0" w:line="3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Baker Bros. Advisors LP, Mgmt.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12928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92860" cy="7620"/>
                    </a:xfrm>
                    <a:prstGeom prst="rect">
                      <a:avLst/>
                    </a:prstGeom>
                    <a:noFill/>
                  </pic:spPr>
                </pic:pic>
              </a:graphicData>
            </a:graphic>
          </wp:anchor>
        </w:drawing>
      </w:r>
    </w:p>
    <w:p>
      <w:pPr>
        <w:spacing w:after="0" w:line="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Co. and Inv. Adviser to 667,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3163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1635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pursuant to authority granted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2623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6238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Baker Biotech Capital, L.P., GP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35255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5255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667, L.P. 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32842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2842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Title: President /s/ Scott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0541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05410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30607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306070" cy="7620"/>
                    </a:xfrm>
                    <a:prstGeom prst="rect">
                      <a:avLst/>
                    </a:prstGeom>
                    <a:noFill/>
                  </pic:spPr>
                </pic:pic>
              </a:graphicData>
            </a:graphic>
          </wp:anchor>
        </w:drawing>
      </w:r>
    </w:p>
    <w:p>
      <w:pPr>
        <w:spacing w:after="0" w:line="3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72707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27075" cy="7620"/>
                    </a:xfrm>
                    <a:prstGeom prst="rect">
                      <a:avLst/>
                    </a:prstGeom>
                    <a:noFill/>
                  </pic:spPr>
                </pic:pic>
              </a:graphicData>
            </a:graphic>
          </wp:anchor>
        </w:drawing>
      </w:r>
    </w:p>
    <w:p>
      <w:pPr>
        <w:spacing w:after="0" w:line="4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66675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666750" cy="7620"/>
                    </a:xfrm>
                    <a:prstGeom prst="rect">
                      <a:avLst/>
                    </a:prstGeom>
                    <a:noFill/>
                  </pic:spPr>
                </pic:pic>
              </a:graphicData>
            </a:graphic>
          </wp:anchor>
        </w:drawing>
      </w:r>
    </w:p>
    <w:p>
      <w:pPr>
        <w:spacing w:after="0" w:line="4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By: Baker Bros. Advisors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123253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32535" cy="7620"/>
                    </a:xfrm>
                    <a:prstGeom prst="rect">
                      <a:avLst/>
                    </a:prstGeom>
                    <a:noFill/>
                  </pic:spPr>
                </pic:pic>
              </a:graphicData>
            </a:graphic>
          </wp:anchor>
        </w:drawing>
      </w:r>
    </w:p>
    <w:p>
      <w:pPr>
        <w:spacing w:after="0" w:line="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LLC, 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18872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18872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Title: President /s/ Scott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0541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05410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30607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060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483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48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483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48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48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352" w:lineRule="exact"/>
        <w:rPr>
          <w:sz w:val="20"/>
          <w:szCs w:val="20"/>
          <w:color w:val="auto"/>
        </w:rPr>
      </w:pPr>
    </w:p>
    <w:p>
      <w:pPr>
        <w:sectPr>
          <w:pgSz w:w="11900" w:h="16838" w:orient="portrait"/>
          <w:cols w:equalWidth="0" w:num="2">
            <w:col w:w="8720" w:space="80"/>
            <w:col w:w="2140"/>
          </w:cols>
          <w:pgMar w:left="460" w:top="128" w:right="499" w:bottom="0" w:gutter="0" w:footer="0" w:header="0"/>
          <w:type w:val="continuous"/>
        </w:sectPr>
      </w:pPr>
    </w:p>
    <w:p>
      <w:pPr>
        <w:ind w:left="6600"/>
        <w:spacing w:after="0"/>
        <w:tabs>
          <w:tab w:leader="none" w:pos="8780" w:val="left"/>
        </w:tabs>
        <w:rPr>
          <w:sz w:val="20"/>
          <w:szCs w:val="20"/>
          <w:color w:val="auto"/>
        </w:rPr>
      </w:pPr>
      <w:r>
        <w:rPr>
          <w:rFonts w:ascii="Times New Roman" w:cs="Times New Roman" w:eastAsia="Times New Roman" w:hAnsi="Times New Roman"/>
          <w:sz w:val="15"/>
          <w:szCs w:val="15"/>
          <w:color w:val="0000FF"/>
        </w:rPr>
        <w:t>Baker Bros. Advisors LP, Mgmt.</w:t>
        <w:tab/>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184848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848485" cy="7620"/>
                    </a:xfrm>
                    <a:prstGeom prst="rect">
                      <a:avLst/>
                    </a:prstGeom>
                    <a:noFill/>
                  </pic:spPr>
                </pic:pic>
              </a:graphicData>
            </a:graphic>
          </wp:anchor>
        </w:drawing>
      </w:r>
    </w:p>
    <w:p>
      <w:pPr>
        <w:spacing w:after="0" w:line="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Co. and Inv. Adviser to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27508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7508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BROTHERS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25984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5984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L.P., pursuant to authority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34175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by Baker Brothers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27889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sectPr>
          <w:pgSz w:w="11900" w:h="16838" w:orient="portrait"/>
          <w:cols w:equalWidth="0" w:num="1">
            <w:col w:w="10940"/>
          </w:cols>
          <w:pgMar w:left="460" w:top="128" w:right="499" w:bottom="0" w:gutter="0" w:footer="0" w:header="0"/>
          <w:type w:val="continuous"/>
        </w:sectPr>
      </w:pPr>
    </w:p>
    <w:bookmarkStart w:id="2" w:name="page3"/>
    <w:bookmarkEnd w:id="2"/>
    <w:p>
      <w:pPr>
        <w:ind w:left="6569"/>
        <w:spacing w:after="0"/>
        <w:rPr>
          <w:sz w:val="20"/>
          <w:szCs w:val="20"/>
          <w:color w:val="auto"/>
        </w:rPr>
      </w:pPr>
      <w:r>
        <w:rPr>
          <w:rFonts w:ascii="Times New Roman" w:cs="Times New Roman" w:eastAsia="Times New Roman" w:hAnsi="Times New Roman"/>
          <w:sz w:val="15"/>
          <w:szCs w:val="15"/>
          <w:color w:val="0000FF"/>
        </w:rPr>
        <w:t>Capital, L.P., GP to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-3810</wp:posOffset>
            </wp:positionV>
            <wp:extent cx="102171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021715" cy="7620"/>
                    </a:xfrm>
                    <a:prstGeom prst="rect">
                      <a:avLst/>
                    </a:prstGeom>
                    <a:noFill/>
                  </pic:spPr>
                </pic:pic>
              </a:graphicData>
            </a:graphic>
          </wp:anchor>
        </w:drawing>
      </w:r>
    </w:p>
    <w:p>
      <w:pPr>
        <w:spacing w:after="0" w:line="8"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Brothers Life Sciences,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-9525</wp:posOffset>
            </wp:positionV>
            <wp:extent cx="112268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12268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Name: Scott L. Lessing,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-9525</wp:posOffset>
            </wp:positionV>
            <wp:extent cx="118808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18808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President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-9525</wp:posOffset>
            </wp:positionV>
            <wp:extent cx="48387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483870" cy="7620"/>
                    </a:xfrm>
                    <a:prstGeom prst="rect">
                      <a:avLst/>
                    </a:prstGeom>
                    <a:noFill/>
                  </pic:spPr>
                </pic:pic>
              </a:graphicData>
            </a:graphic>
          </wp:anchor>
        </w:drawing>
      </w:r>
    </w:p>
    <w:p>
      <w:pPr>
        <w:spacing w:after="0" w:line="35" w:lineRule="exact"/>
        <w:rPr>
          <w:sz w:val="20"/>
          <w:szCs w:val="20"/>
          <w:color w:val="auto"/>
        </w:rPr>
      </w:pPr>
    </w:p>
    <w:p>
      <w:pPr>
        <w:ind w:left="6569"/>
        <w:spacing w:after="0"/>
        <w:tabs>
          <w:tab w:leader="none" w:pos="8748"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9"/>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1" w:lineRule="exact"/>
        <w:rPr>
          <w:sz w:val="20"/>
          <w:szCs w:val="20"/>
          <w:color w:val="auto"/>
        </w:rPr>
      </w:pPr>
    </w:p>
    <w:p>
      <w:pPr>
        <w:ind w:left="9"/>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1" w:lineRule="exact"/>
        <w:rPr>
          <w:sz w:val="20"/>
          <w:szCs w:val="20"/>
          <w:color w:val="auto"/>
        </w:rPr>
      </w:pPr>
    </w:p>
    <w:p>
      <w:pPr>
        <w:jc w:val="both"/>
        <w:ind w:left="9" w:right="3099" w:hanging="9"/>
        <w:spacing w:after="0" w:line="339" w:lineRule="auto"/>
        <w:tabs>
          <w:tab w:leader="none" w:pos="135"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9"/>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8"/>
      </w:cols>
      <w:pgMar w:left="491"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13" Type="http://schemas.openxmlformats.org/officeDocument/2006/relationships/hyperlink" Target="http://www.sec.gov/cgi-bin/browse-edgar?action=getcompany&amp;CIK=0001263508" TargetMode="External"/><Relationship Id="rId14" Type="http://schemas.openxmlformats.org/officeDocument/2006/relationships/hyperlink" Target="http://www.sec.gov/cgi-bin/browse-edgar?action=getcompany&amp;CIK=0001783328" TargetMode="External"/><Relationship Id="rId15" Type="http://schemas.openxmlformats.org/officeDocument/2006/relationships/hyperlink" Target="http://www.sec.gov/cgi-bin/browse-edgar?action=getcompany&amp;CIK=0001551139" TargetMode="External"/><Relationship Id="rId16" Type="http://schemas.openxmlformats.org/officeDocument/2006/relationships/hyperlink" Target="http://www.sec.gov/cgi-bin/browse-edgar?action=getcompany&amp;CIK=0001580575" TargetMode="External"/><Relationship Id="rId17" Type="http://schemas.openxmlformats.org/officeDocument/2006/relationships/hyperlink" Target="http://www.sec.gov/cgi-bin/browse-edgar?action=getcompany&amp;CIK=0001363364" TargetMode="External"/><Relationship Id="rId18" Type="http://schemas.openxmlformats.org/officeDocument/2006/relationships/hyperlink" Target="http://www.sec.gov/cgi-bin/browse-edgar?action=getcompany&amp;CIK=0001087940" TargetMode="External"/><Relationship Id="rId19" Type="http://schemas.openxmlformats.org/officeDocument/2006/relationships/hyperlink" Target="http://www.sec.gov/cgi-bin/browse-edgar?action=getcompany&amp;CIK=0001087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2026-05-22T15:15:13Z</dcterms:created>
  <dcterms:modified xsi:type="dcterms:W3CDTF">2026-05-22T15:15:13Z</dcterms:modified>
</cp:coreProperties>
</file>