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1735d8k.htm"/>
      <w:bookmarkStart w:id="1" w:name="ksd17173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TSCAN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82-5282075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830 Winter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Waltham,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857 399-9500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060" w:type="dxa"/>
        <w:jc w:val="left"/>
        <w:tblInd w:w="0" w:type="dxa"/>
        <w:tblLayout w:type="fixed"/>
        <w:tblCellMar>
          <w:top w:w="0" w:type="dxa"/>
          <w:left w:w="0" w:type="dxa"/>
          <w:bottom w:w="0" w:type="dxa"/>
          <w:right w:w="0" w:type="dxa"/>
        </w:tblCellMar>
      </w:tblPr>
      <w:tblGrid>
        <w:gridCol w:w="4985"/>
        <w:gridCol w:w="60"/>
        <w:gridCol w:w="740"/>
        <w:gridCol w:w="60"/>
        <w:gridCol w:w="3215"/>
      </w:tblGrid>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85" w:type="dxa"/>
            <w:tcBorders/>
            <w:vAlign w:val="center"/>
          </w:tcPr>
          <w:p>
            <w:pPr>
              <w:pStyle w:val="TableContents"/>
              <w:bidi w:val="0"/>
              <w:spacing w:before="0" w:after="283"/>
              <w:jc w:val="center"/>
              <w:rPr/>
            </w:pPr>
            <w:r>
              <w:rPr/>
              <w:t>Voting 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TCRX</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pPr>
            <w:r>
              <w:rPr/>
              <w:t>The Nasdaq Global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8, 2026, the Compensation Committee of the Board of Directors (the “Board”) of TScan Therapeutics, Inc. (the “Company”) approved a retention program designed to retain the employees required to support the Company, including a key employee retention program (the “Retention Program”) that provides for cash awards and the potential future grant of equity-based awards to certain key employees of the Company, including Gavin MacBeath, Ph.D., the Company’s Chief Executive Officer, and Zoran Zdraveski, JD, Ph.D., the Company’s Chief Legal and Strategy Officer. Each of the equity-based awards are to be made under the Company’s Amended and Restated 2021 Equity Incentive Plan (the “2021 Plan”). </w:t>
      </w:r>
    </w:p>
    <w:p>
      <w:pPr>
        <w:pStyle w:val="TextBody"/>
        <w:bidi w:val="0"/>
        <w:spacing w:before="240" w:after="0"/>
        <w:jc w:val="left"/>
        <w:rPr>
          <w:rFonts w:ascii="Times New Roman" w:hAnsi="Times New Roman"/>
          <w:sz w:val="20"/>
        </w:rPr>
      </w:pPr>
      <w:r>
        <w:rPr>
          <w:rFonts w:ascii="Times New Roman" w:hAnsi="Times New Roman"/>
          <w:sz w:val="20"/>
        </w:rPr>
        <w:t xml:space="preserve">Under the Retention Program, Dr. MacBeath and Dr. Zdraveski will receive (i) cash awards of $822,000 and $416,000, respectively, with (A) one-third (1/3) of the first half of such cash awards to be paid in November 2026 and the remaining two-thirds (2/3) of the first half to be paid in February 2027, and (B) the second half of such cash award to be paid upon achievement of certain milestones relating to the advancement of the Company’s </w:t>
      </w:r>
      <w:r>
        <w:rPr>
          <w:rFonts w:ascii="Times New Roman" w:hAnsi="Times New Roman"/>
          <w:i/>
          <w:sz w:val="20"/>
        </w:rPr>
        <w:t>in vivo</w:t>
      </w:r>
      <w:r>
        <w:rPr>
          <w:rFonts w:ascii="Times New Roman" w:hAnsi="Times New Roman"/>
          <w:sz w:val="20"/>
        </w:rPr>
        <w:t xml:space="preserve"> solid tumor program (the “Clinical Milestone”), and (ii) equity-based awards of 2,400,000 restricted stock units (“RSUs”) and 1,050,000 RSUs, respectively, to be granted under the 2021 Plan, with one-third (1/3) of such RSUs scheduled to vest upon achievement of a certain financing milestone (the “Financing Milestone”) and the remaining two-thirds (2/3) vesting in equal installments on the first and second anniversaries of the Financing Milestone, in each case subject to continued service with the Company through the applicable vesting dates and the terms of the 2021 Plan and the applicable award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that are based on the Company’s beliefs and assumptions and on information currently available to the Company on the date of this Current Report. These forward-looking statements involve substantial risks and uncertainties. Any statements in this Current Report on Form 8-K other than statements of historical fact, including statements about the Company’s future expectations, plans and prospects, constitute forward-looking statements for purposes of the safe harbor provisions under the Private Securities Litigation Reform Act of 1995. Forward-looking statements include, but are not limited to, express or implied statements regarding expectations, hopes, beliefs, intentions or strategies of the Company regarding the Retention Program, and any other statements containing the words “anticipate,” “believe,” “estimate,” “expect,” “intend”, “goal,” “may”, “might,” “plan,” “predict,” “project,” “seek,” “target,” “potential,” “will,” “would,” “could,” “should,” “continue,” and similar expressions. Such forward-looking statements involve substantial risks and uncertainties that could cause the Company’s financial and operating results, performance or achievements to differ significantly from those expressed or implied by the forward-looking statements, including the factors discussed in the “Risk Factors” section contained in the quarterly and annual reports that the Company files with the Securities and Exchange Commission. Any forward-looking statements represent the Company’s views only as of the date of this Current Report on Form 8-K. The Company anticipates that subsequent events and developments may cause its views to change. While the Company may elect to update these forward looking statements at some point in the future, the Company specifically disclaims any obligation to do so except as required by law even if new information becomes available in the future.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483"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240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TScan Therapeutics,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MacBeath, Ph.D.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Gavin MacBeath, Ph.D.</w:t>
            </w:r>
          </w:p>
          <w:p>
            <w:pPr>
              <w:pStyle w:val="TableContents"/>
              <w:bidi w:val="0"/>
              <w:spacing w:before="0" w:after="20"/>
              <w:jc w:val="left"/>
              <w:rPr>
                <w:rFonts w:ascii="Times New Roman" w:hAnsi="Times New Roman"/>
                <w:sz w:val="20"/>
              </w:rPr>
            </w:pPr>
            <w:r>
              <w:rPr>
                <w:rFonts w:ascii="Times New Roman" w:hAnsi="Times New Roman"/>
                <w:sz w:val="20"/>
              </w:rPr>
              <w:t xml:space="preserve">Chief Executive Officer </w:t>
              <w:br/>
              <w:t>(Principal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926</Words>
  <Characters>5334</Characters>
  <CharactersWithSpaces>6250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