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TScan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Voting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Readout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3,453,388.00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3,453,388.00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3,453,388.00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Readout Capital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3,453,388.00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3,453,388.00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3,453,388.00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Smith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3,453,388.00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3,453,388.00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3,453,388.00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TScan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830 Winter Street, Waltham, MASSACHUSETTS, 02451.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(i) Readout Capital, LP, ( the "Firm"), (ii) Readout Capital GP, LLC ("Readout GP"), and (iii) Matthew Smith. Each a "Reporting Person." Readout GP is the General Partner to the Firm. Matthew Smit is a Managing Member of Readout GP.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1630 Columbia Road NW, Unit 418, Washington, D.C. 20009.</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Voting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of the cover page for each Reporting Person. By virtue of the Firm's position as the investment manager to Readout Capital Master Fund, LP (the "Master Fund") and the Sub-Advised Funds ("the Sub-Advised Funds"), the direct holders of an aggregate of 3,453,388 of Voting Common Stock, $0.0001 par value per share (the "Common Stock") of TScan Therapeutics, Inc. (the "Issuer"). The Firm may be deemed to exercise voting and investment power over such shares of Common Stock held by the Master Fund and the Sub-Advised Funds, and thus may be deemed to beneficially own such shares of Common Stock. By virtue of its position as the General Partner to the Firm, Readout GP may be deemed to exercise voting and investment power over the shares of Common Stock held directly by the Master Fund and the Sub-Advised Funds, and thus may be deemed to beneficially own such shares of Common Stock. By virtue of Matthew Smith's position as the Managing Member of Readout GP, Matthew Smith may be deemed to exercise voting and investment power over the shares of Common Stock held directly by the Master Fund and the Sub-Advised Funds, and thus may be deemed to beneficially own such shares of Common Stock. Ownership percentages are based on 63,502,667 shares of Common Stock reported as issued and outstanding as of August 7, 2026 in the Issuer's Quarterly Form 10-Q filed with the Securities and Exchange Commission on August 12, 2026.</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of the cover page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of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Readout Capital, LP</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Scott Barnes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Readout Capital GP, LLC</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Matthew Smith</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Matthew Smith</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Smith</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center"/>
              <w:rPr>
                <w:b/>
              </w:rPr>
            </w:pPr>
            <w:r>
              <w:rPr>
                <w:b/>
              </w:rPr>
              <w:t xml:space="preserve">Exhibit Information </w:t>
            </w:r>
          </w:p>
        </w:tc>
      </w:tr>
      <w:tr>
        <w:trPr/>
        <w:tc>
          <w:tcPr>
            <w:tcW w:w="3331" w:type="dxa"/>
            <w:tcBorders/>
            <w:vAlign w:val="center"/>
          </w:tcPr>
          <w:p>
            <w:pPr>
              <w:pStyle w:val="TableContents"/>
              <w:bidi w:val="0"/>
              <w:spacing w:before="0" w:after="283"/>
              <w:jc w:val="left"/>
              <w:rPr/>
            </w:pPr>
            <w:r>
              <w:rPr/>
              <w:t>Exhibit 1: Joint Filing Agreement</w:t>
            </w:r>
          </w:p>
        </w:tc>
      </w:tr>
    </w:tbl>
    <w:p>
      <w:pPr>
        <w:pStyle w:val="TextBody"/>
        <w:bidi w:val="0"/>
        <w:spacing w:before="0" w:after="240"/>
        <w:jc w:val="right"/>
        <w:rPr>
          <w:rFonts w:ascii="Times New Roman;Times;Serif" w:hAnsi="Times New Roman;Times;Serif"/>
          <w:b w:val="false"/>
          <w:i w:val="false"/>
          <w:caps w:val="false"/>
          <w:smallCaps w:val="false"/>
          <w:sz w:val="24"/>
        </w:rPr>
      </w:pPr>
      <w:bookmarkStart w:id="24" w:name="exhibit1jointfilingagreement.htm"/>
      <w:bookmarkStart w:id="25" w:name="ksexhibit1jointfilingagreement"/>
      <w:bookmarkEnd w:id="24"/>
      <w:bookmarkEnd w:id="25"/>
      <w:r>
        <w:rPr>
          <w:rFonts w:ascii="Times New Roman;Times;Serif" w:hAnsi="Times New Roman;Times;Serif"/>
          <w:b w:val="false"/>
          <w:i w:val="false"/>
          <w:caps w:val="false"/>
          <w:smallCaps w:val="false"/>
          <w:sz w:val="24"/>
        </w:rPr>
        <w:t>Exhibit 1</w:t>
      </w:r>
      <w:r>
        <w:br w:type="page"/>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Dated: September 25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065" w:type="dxa"/>
        <w:jc w:val="left"/>
        <w:tblInd w:w="0" w:type="dxa"/>
        <w:tblLayout w:type="fixed"/>
        <w:tblCellMar>
          <w:top w:w="0" w:type="dxa"/>
          <w:left w:w="0" w:type="dxa"/>
          <w:bottom w:w="0" w:type="dxa"/>
          <w:right w:w="0" w:type="dxa"/>
        </w:tblCellMar>
      </w:tblPr>
      <w:tblGrid>
        <w:gridCol w:w="2990"/>
        <w:gridCol w:w="75"/>
      </w:tblGrid>
      <w:tr>
        <w:trPr/>
        <w:tc>
          <w:tcPr>
            <w:tcW w:w="299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Readout Capital, LP</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90" w:type="dxa"/>
            <w:tcBorders>
              <w:bottom w:val="single" w:sz="8" w:space="0" w:color="000000"/>
            </w:tcBorders>
            <w:tcMar>
              <w:bottom w:w="28" w:type="dxa"/>
            </w:tcMar>
            <w:vAlign w:val="center"/>
          </w:tcPr>
          <w:p>
            <w:pPr>
              <w:pStyle w:val="TableContents"/>
              <w:bidi w:val="0"/>
              <w:spacing w:before="0" w:after="283"/>
              <w:jc w:val="left"/>
              <w:rPr/>
            </w:pPr>
            <w:r>
              <w:rPr/>
              <w:t> </w:t>
            </w:r>
            <w:r>
              <w:rPr/>
              <w:t>/s/ Scott Barnes</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Name:</w:t>
              <w:tab/>
              <w:t>Scott Barnes</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Title:</w:t>
              <w:tab/>
              <w:t>Chief Compliance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2600"/>
        <w:gridCol w:w="75"/>
      </w:tblGrid>
      <w:tr>
        <w:trPr/>
        <w:tc>
          <w:tcPr>
            <w:tcW w:w="260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Readout Capital GP, LLC</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00" w:type="dxa"/>
            <w:tcBorders>
              <w:bottom w:val="single" w:sz="8" w:space="0" w:color="000000"/>
            </w:tcBorders>
            <w:tcMar>
              <w:bottom w:w="28" w:type="dxa"/>
            </w:tcMar>
            <w:vAlign w:val="center"/>
          </w:tcPr>
          <w:p>
            <w:pPr>
              <w:pStyle w:val="TableContents"/>
              <w:bidi w:val="0"/>
              <w:spacing w:before="0" w:after="283"/>
              <w:jc w:val="left"/>
              <w:rPr/>
            </w:pPr>
            <w:r>
              <w:rPr/>
              <w:t> </w:t>
            </w:r>
            <w:r>
              <w:rPr/>
              <w:t>/s/ Matthew Smith</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Name:</w:t>
              <w:tab/>
              <w:t>Matthew Smith</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Title:</w:t>
              <w:tab/>
              <w:t>Managing Member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95" w:type="dxa"/>
        <w:jc w:val="left"/>
        <w:tblInd w:w="0" w:type="dxa"/>
        <w:tblLayout w:type="fixed"/>
        <w:tblCellMar>
          <w:top w:w="0" w:type="dxa"/>
          <w:left w:w="0" w:type="dxa"/>
          <w:bottom w:w="0" w:type="dxa"/>
          <w:right w:w="0" w:type="dxa"/>
        </w:tblCellMar>
      </w:tblPr>
      <w:tblGrid>
        <w:gridCol w:w="2120"/>
        <w:gridCol w:w="75"/>
      </w:tblGrid>
      <w:tr>
        <w:trPr/>
        <w:tc>
          <w:tcPr>
            <w:tcW w:w="212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Matthew Smith</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20" w:type="dxa"/>
            <w:tcBorders>
              <w:bottom w:val="single" w:sz="8" w:space="0" w:color="000000"/>
            </w:tcBorders>
            <w:tcMar>
              <w:bottom w:w="28" w:type="dxa"/>
            </w:tcMar>
            <w:vAlign w:val="center"/>
          </w:tcPr>
          <w:p>
            <w:pPr>
              <w:pStyle w:val="TableContents"/>
              <w:bidi w:val="0"/>
              <w:spacing w:before="0" w:after="283"/>
              <w:jc w:val="left"/>
              <w:rPr/>
            </w:pPr>
            <w:r>
              <w:rPr/>
              <w:t> </w:t>
            </w:r>
            <w:r>
              <w:rPr/>
              <w:t>/s/ Matthew Smith</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Name:</w:t>
              <w:tab/>
              <w:t>Matthew Smith</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1484</Words>
  <Characters>7600</Characters>
  <CharactersWithSpaces>9053</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