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742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742180"/>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Gruia Gabriela</w:t>
              </w:r>
            </w:hyperlink>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TScan Therapeutics,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TCRX</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460" w:type="dxa"/>
            <w:vAlign w:val="bottom"/>
            <w:gridSpan w:val="4"/>
            <w:vMerge w:val="continue"/>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60" w:type="dxa"/>
            <w:vAlign w:val="bottom"/>
            <w:tcBorders>
              <w:bottom w:val="single" w:sz="8" w:color="0000EE"/>
            </w:tcBorders>
          </w:tcPr>
          <w:p>
            <w:pPr>
              <w:spacing w:after="0"/>
              <w:rPr>
                <w:sz w:val="6"/>
                <w:szCs w:val="6"/>
                <w:color w:val="auto"/>
              </w:rPr>
            </w:pPr>
          </w:p>
        </w:tc>
        <w:tc>
          <w:tcPr>
            <w:tcW w:w="170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46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60" w:type="dxa"/>
            <w:vAlign w:val="bottom"/>
          </w:tcPr>
          <w:p>
            <w:pPr>
              <w:spacing w:after="0"/>
              <w:rPr>
                <w:sz w:val="5"/>
                <w:szCs w:val="5"/>
                <w:color w:val="auto"/>
              </w:rPr>
            </w:pPr>
          </w:p>
        </w:tc>
        <w:tc>
          <w:tcPr>
            <w:tcW w:w="170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460" w:type="dxa"/>
            <w:vAlign w:val="bottom"/>
            <w:tcBorders>
              <w:top w:val="single" w:sz="8" w:color="0000EE"/>
            </w:tcBorders>
          </w:tcPr>
          <w:p>
            <w:pPr>
              <w:spacing w:after="0"/>
              <w:rPr>
                <w:sz w:val="6"/>
                <w:szCs w:val="6"/>
                <w:color w:val="auto"/>
              </w:rPr>
            </w:pPr>
          </w:p>
        </w:tc>
        <w:tc>
          <w:tcPr>
            <w:tcW w:w="12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60" w:type="dxa"/>
            <w:vAlign w:val="bottom"/>
          </w:tcPr>
          <w:p>
            <w:pPr>
              <w:spacing w:after="0"/>
              <w:rPr>
                <w:sz w:val="6"/>
                <w:szCs w:val="6"/>
                <w:color w:val="auto"/>
              </w:rPr>
            </w:pPr>
          </w:p>
        </w:tc>
        <w:tc>
          <w:tcPr>
            <w:tcW w:w="170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46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46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22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05/20/2026</w:t>
            </w:r>
          </w:p>
        </w:tc>
        <w:tc>
          <w:tcPr>
            <w:tcW w:w="170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C/O TSCAN THERAPEUTICS, INC.</w:t>
            </w:r>
          </w:p>
        </w:tc>
        <w:tc>
          <w:tcPr>
            <w:tcW w:w="2220" w:type="dxa"/>
            <w:vAlign w:val="bottom"/>
            <w:gridSpan w:val="3"/>
            <w:vMerge w:val="continue"/>
          </w:tcPr>
          <w:p>
            <w:pPr>
              <w:spacing w:after="0"/>
              <w:rPr>
                <w:sz w:val="10"/>
                <w:szCs w:val="10"/>
                <w:color w:val="auto"/>
              </w:rPr>
            </w:pPr>
          </w:p>
        </w:tc>
        <w:tc>
          <w:tcPr>
            <w:tcW w:w="170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60" w:type="dxa"/>
            <w:vAlign w:val="bottom"/>
            <w:gridSpan w:val="5"/>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830 WINTER STREET</w:t>
            </w: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060" w:type="dxa"/>
            <w:vAlign w:val="bottom"/>
            <w:tcBorders>
              <w:bottom w:val="single" w:sz="8" w:color="2C2C2C"/>
            </w:tcBorders>
          </w:tcPr>
          <w:p>
            <w:pPr>
              <w:spacing w:after="0"/>
              <w:rPr>
                <w:sz w:val="11"/>
                <w:szCs w:val="11"/>
                <w:color w:val="auto"/>
              </w:rPr>
            </w:pPr>
          </w:p>
        </w:tc>
        <w:tc>
          <w:tcPr>
            <w:tcW w:w="170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460" w:type="dxa"/>
            <w:vAlign w:val="bottom"/>
            <w:gridSpan w:val="4"/>
            <w:vMerge w:val="continue"/>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4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WALTHAM</w:t>
            </w:r>
          </w:p>
        </w:tc>
        <w:tc>
          <w:tcPr>
            <w:tcW w:w="100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02451</w:t>
            </w:r>
          </w:p>
        </w:tc>
      </w:tr>
      <w:tr>
        <w:trPr>
          <w:trHeight w:val="149"/>
        </w:trPr>
        <w:tc>
          <w:tcPr>
            <w:tcW w:w="20" w:type="dxa"/>
            <w:vAlign w:val="bottom"/>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060" w:type="dxa"/>
            <w:vAlign w:val="bottom"/>
          </w:tcPr>
          <w:p>
            <w:pPr>
              <w:ind w:left="20"/>
              <w:spacing w:after="0"/>
              <w:rPr>
                <w:sz w:val="20"/>
                <w:szCs w:val="20"/>
                <w:color w:val="auto"/>
              </w:rPr>
            </w:pPr>
            <w:r>
              <w:rPr>
                <w:rFonts w:ascii="Arial" w:cs="Arial" w:eastAsia="Arial" w:hAnsi="Arial"/>
                <w:sz w:val="13"/>
                <w:szCs w:val="13"/>
                <w:color w:val="auto"/>
              </w:rPr>
              <w:t>(City)</w:t>
            </w:r>
          </w:p>
        </w:tc>
        <w:tc>
          <w:tcPr>
            <w:tcW w:w="1000" w:type="dxa"/>
            <w:vAlign w:val="bottom"/>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2"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Voting</w:t>
            </w: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68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52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67,000</w:t>
            </w:r>
          </w:p>
        </w:tc>
        <w:tc>
          <w:tcPr>
            <w:tcW w:w="680" w:type="dxa"/>
            <w:vAlign w:val="bottom"/>
          </w:tcPr>
          <w:p>
            <w:pPr>
              <w:spacing w:after="0"/>
              <w:rPr>
                <w:sz w:val="5"/>
                <w:szCs w:val="5"/>
                <w:color w:val="auto"/>
              </w:rPr>
            </w:pPr>
          </w:p>
        </w:tc>
        <w:tc>
          <w:tcPr>
            <w:tcW w:w="9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680" w:type="dxa"/>
            <w:vAlign w:val="bottom"/>
            <w:vMerge w:val="continue"/>
          </w:tcPr>
          <w:p>
            <w:pPr>
              <w:spacing w:after="0"/>
              <w:rPr>
                <w:sz w:val="6"/>
                <w:szCs w:val="6"/>
                <w:color w:val="auto"/>
              </w:rPr>
            </w:pPr>
          </w:p>
        </w:tc>
        <w:tc>
          <w:tcPr>
            <w:tcW w:w="780" w:type="dxa"/>
            <w:vAlign w:val="bottom"/>
            <w:vMerge w:val="restart"/>
          </w:tcPr>
          <w:p>
            <w:pPr>
              <w:ind w:left="1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0.9946</w:t>
            </w:r>
          </w:p>
        </w:tc>
        <w:tc>
          <w:tcPr>
            <w:tcW w:w="1080" w:type="dxa"/>
            <w:vAlign w:val="bottom"/>
            <w:vMerge w:val="restart"/>
          </w:tcPr>
          <w:p>
            <w:pPr>
              <w:jc w:val="right"/>
              <w:ind w:right="180"/>
              <w:spacing w:after="0" w:line="142" w:lineRule="exact"/>
              <w:rPr>
                <w:sz w:val="20"/>
                <w:szCs w:val="20"/>
                <w:color w:val="auto"/>
              </w:rPr>
            </w:pPr>
            <w:r>
              <w:rPr>
                <w:rFonts w:ascii="Times New Roman" w:cs="Times New Roman" w:eastAsia="Times New Roman" w:hAnsi="Times New Roman"/>
                <w:sz w:val="13"/>
                <w:szCs w:val="13"/>
                <w:color w:val="0000FF"/>
              </w:rPr>
              <w:t>05/20/2026</w:t>
            </w:r>
          </w:p>
        </w:tc>
        <w:tc>
          <w:tcPr>
            <w:tcW w:w="1100" w:type="dxa"/>
            <w:vAlign w:val="bottom"/>
          </w:tcPr>
          <w:p>
            <w:pPr>
              <w:spacing w:after="0"/>
              <w:rPr>
                <w:sz w:val="6"/>
                <w:szCs w:val="6"/>
                <w:color w:val="auto"/>
              </w:rPr>
            </w:pPr>
          </w:p>
        </w:tc>
        <w:tc>
          <w:tcPr>
            <w:tcW w:w="780" w:type="dxa"/>
            <w:vAlign w:val="bottom"/>
            <w:vMerge w:val="restart"/>
          </w:tcPr>
          <w:p>
            <w:pPr>
              <w:ind w:left="160"/>
              <w:spacing w:after="0" w:line="142" w:lineRule="exact"/>
              <w:rPr>
                <w:sz w:val="20"/>
                <w:szCs w:val="20"/>
                <w:color w:val="auto"/>
              </w:rPr>
            </w:pPr>
            <w:r>
              <w:rPr>
                <w:rFonts w:ascii="Times New Roman" w:cs="Times New Roman" w:eastAsia="Times New Roman" w:hAnsi="Times New Roman"/>
                <w:sz w:val="13"/>
                <w:szCs w:val="13"/>
                <w:color w:val="0000FF"/>
              </w:rPr>
              <w:t>A</w:t>
            </w:r>
          </w:p>
        </w:tc>
        <w:tc>
          <w:tcPr>
            <w:tcW w:w="520" w:type="dxa"/>
            <w:vAlign w:val="bottom"/>
            <w:vMerge w:val="restart"/>
          </w:tcPr>
          <w:p>
            <w:pPr>
              <w:ind w:left="100"/>
              <w:spacing w:after="0" w:line="142" w:lineRule="exact"/>
              <w:rPr>
                <w:sz w:val="20"/>
                <w:szCs w:val="20"/>
                <w:color w:val="auto"/>
              </w:rPr>
            </w:pPr>
            <w:r>
              <w:rPr>
                <w:rFonts w:ascii="Times New Roman" w:cs="Times New Roman" w:eastAsia="Times New Roman" w:hAnsi="Times New Roman"/>
                <w:sz w:val="13"/>
                <w:szCs w:val="13"/>
                <w:color w:val="0000FF"/>
              </w:rPr>
              <w:t>67,000</w:t>
            </w:r>
          </w:p>
        </w:tc>
        <w:tc>
          <w:tcPr>
            <w:tcW w:w="28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2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05/20/2036</w:t>
            </w:r>
          </w:p>
        </w:tc>
        <w:tc>
          <w:tcPr>
            <w:tcW w:w="68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continue"/>
          </w:tcPr>
          <w:p>
            <w:pPr>
              <w:spacing w:after="0"/>
              <w:rPr>
                <w:sz w:val="6"/>
                <w:szCs w:val="6"/>
                <w:color w:val="auto"/>
              </w:rPr>
            </w:pPr>
          </w:p>
        </w:tc>
        <w:tc>
          <w:tcPr>
            <w:tcW w:w="680" w:type="dxa"/>
            <w:vAlign w:val="bottom"/>
            <w:vMerge w:val="restart"/>
          </w:tcPr>
          <w:p>
            <w:pPr>
              <w:ind w:left="2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940" w:type="dxa"/>
            <w:vAlign w:val="bottom"/>
            <w:vMerge w:val="restart"/>
          </w:tcPr>
          <w:p>
            <w:pPr>
              <w:ind w:left="300"/>
              <w:spacing w:after="0" w:line="142" w:lineRule="exact"/>
              <w:rPr>
                <w:sz w:val="20"/>
                <w:szCs w:val="20"/>
                <w:color w:val="auto"/>
              </w:rPr>
            </w:pPr>
            <w:r>
              <w:rPr>
                <w:rFonts w:ascii="Times New Roman" w:cs="Times New Roman" w:eastAsia="Times New Roman" w:hAnsi="Times New Roman"/>
                <w:sz w:val="13"/>
                <w:szCs w:val="13"/>
                <w:color w:val="0000FF"/>
              </w:rPr>
              <w:t>67,000</w:t>
            </w:r>
          </w:p>
        </w:tc>
        <w:tc>
          <w:tcPr>
            <w:tcW w:w="720" w:type="dxa"/>
            <w:vAlign w:val="bottom"/>
            <w:vMerge w:val="restart"/>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68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Pr>
          <w:p>
            <w:pPr>
              <w:spacing w:after="0"/>
              <w:rPr>
                <w:sz w:val="6"/>
                <w:szCs w:val="6"/>
                <w:color w:val="auto"/>
              </w:rPr>
            </w:pPr>
          </w:p>
        </w:tc>
        <w:tc>
          <w:tcPr>
            <w:tcW w:w="52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9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80" w:type="dxa"/>
            <w:vAlign w:val="bottom"/>
          </w:tcPr>
          <w:p>
            <w:pPr>
              <w:spacing w:after="0"/>
              <w:rPr>
                <w:sz w:val="7"/>
                <w:szCs w:val="7"/>
                <w:color w:val="auto"/>
              </w:rPr>
            </w:pPr>
          </w:p>
        </w:tc>
        <w:tc>
          <w:tcPr>
            <w:tcW w:w="52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9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Pr>
          <w:p>
            <w:pPr>
              <w:spacing w:after="0"/>
              <w:rPr>
                <w:sz w:val="6"/>
                <w:szCs w:val="6"/>
                <w:color w:val="auto"/>
              </w:rPr>
            </w:pPr>
          </w:p>
        </w:tc>
        <w:tc>
          <w:tcPr>
            <w:tcW w:w="52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9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9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38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subject to this option shall vest and become exercisable in full upon the earlier to occur of (i) May 20, 2027 and (ii) the next annual meeting of the Issuer's stockholders, subject to the Reporting Person's continued service at such time.</w:t>
      </w:r>
    </w:p>
    <w:p>
      <w:pPr>
        <w:spacing w:after="0" w:line="8" w:lineRule="exact"/>
        <w:rPr>
          <w:sz w:val="20"/>
          <w:szCs w:val="20"/>
          <w:color w:val="auto"/>
        </w:rPr>
      </w:pPr>
    </w:p>
    <w:tbl>
      <w:tblPr>
        <w:tblLayout w:type="fixed"/>
        <w:tblInd w:w="660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/s/ Zoran Zdraveski, Attorney-</w:t>
            </w:r>
          </w:p>
        </w:tc>
        <w:tc>
          <w:tcPr>
            <w:tcW w:w="160" w:type="dxa"/>
            <w:vAlign w:val="bottom"/>
          </w:tcPr>
          <w:p>
            <w:pPr>
              <w:spacing w:after="0"/>
              <w:rPr>
                <w:sz w:val="18"/>
                <w:szCs w:val="18"/>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05/22/2026</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86" w:lineRule="exact"/>
              <w:rPr>
                <w:sz w:val="20"/>
                <w:szCs w:val="20"/>
                <w:color w:val="auto"/>
              </w:rPr>
            </w:pPr>
            <w:r>
              <w:rPr>
                <w:rFonts w:ascii="Times New Roman" w:cs="Times New Roman" w:eastAsia="Times New Roman" w:hAnsi="Times New Roman"/>
                <w:sz w:val="17"/>
                <w:szCs w:val="17"/>
                <w:color w:val="0000FF"/>
              </w:rPr>
              <w:t>in-Fact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00"/>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860326" TargetMode="External"/><Relationship Id="rId14" Type="http://schemas.openxmlformats.org/officeDocument/2006/relationships/hyperlink" Target="http://www.sec.gov/cgi-bin/browse-edgar?action=getcompany&amp;CIK=000178332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2026-05-22T15:12:52Z</dcterms:created>
  <dcterms:modified xsi:type="dcterms:W3CDTF">2026-05-22T15:12:52Z</dcterms:modified>
</cp:coreProperties>
</file>