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March 4, 2026</w:t>
      </w:r>
    </w:p>
    <w:p>
      <w:pPr>
        <w:spacing w:after="0" w:line="32" w:lineRule="exact"/>
        <w:rPr>
          <w:sz w:val="24"/>
          <w:szCs w:val="24"/>
          <w:color w:val="auto"/>
        </w:rPr>
      </w:pPr>
    </w:p>
    <w:p>
      <w:pPr>
        <w:ind w:left="8480"/>
        <w:spacing w:after="0"/>
        <w:rPr>
          <w:sz w:val="20"/>
          <w:szCs w:val="20"/>
          <w:color w:val="auto"/>
        </w:rPr>
      </w:pPr>
      <w:r>
        <w:rPr>
          <w:rFonts w:ascii="Times New Roman" w:cs="Times New Roman" w:eastAsia="Times New Roman" w:hAnsi="Times New Roman"/>
          <w:sz w:val="17"/>
          <w:szCs w:val="17"/>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67100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67100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1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210820</wp:posOffset>
            </wp:positionV>
            <wp:extent cx="14141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FORM S-8</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ind w:right="-39"/>
        <w:spacing w:after="0" w:line="231"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210820</wp:posOffset>
            </wp:positionV>
            <wp:extent cx="14141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1"/>
          <w:szCs w:val="41"/>
          <w:b w:val="1"/>
          <w:bCs w:val="1"/>
          <w:color w:val="auto"/>
        </w:rPr>
        <w:t>TSCAN THERAPEUTICS, INC.</w:t>
      </w:r>
    </w:p>
    <w:p>
      <w:pPr>
        <w:spacing w:after="0" w:line="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228600</wp:posOffset>
            </wp:positionV>
            <wp:extent cx="1414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tbl>
      <w:tblPr>
        <w:tblLayout w:type="fixed"/>
        <w:tblInd w:w="1480" w:type="dxa"/>
        <w:tblCellMar>
          <w:top w:w="0" w:type="dxa"/>
          <w:left w:w="0" w:type="dxa"/>
          <w:bottom w:w="0" w:type="dxa"/>
          <w:right w:w="0" w:type="dxa"/>
        </w:tblCellMar>
      </w:tblPr>
      <w:tr>
        <w:trPr>
          <w:trHeight w:val="203"/>
        </w:trPr>
        <w:tc>
          <w:tcPr>
            <w:tcW w:w="4180" w:type="dxa"/>
            <w:vAlign w:val="bottom"/>
          </w:tcPr>
          <w:p>
            <w:pPr>
              <w:jc w:val="center"/>
              <w:ind w:right="1722"/>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880" w:type="dxa"/>
            <w:vAlign w:val="bottom"/>
          </w:tcPr>
          <w:p>
            <w:pPr>
              <w:jc w:val="right"/>
              <w:ind w:right="44"/>
              <w:spacing w:after="0"/>
              <w:rPr>
                <w:sz w:val="20"/>
                <w:szCs w:val="20"/>
                <w:color w:val="auto"/>
              </w:rPr>
            </w:pPr>
            <w:r>
              <w:rPr>
                <w:rFonts w:ascii="Times New Roman" w:cs="Times New Roman" w:eastAsia="Times New Roman" w:hAnsi="Times New Roman"/>
                <w:sz w:val="17"/>
                <w:szCs w:val="17"/>
                <w:b w:val="1"/>
                <w:bCs w:val="1"/>
                <w:color w:val="auto"/>
              </w:rPr>
              <w:t>82-5282075</w:t>
            </w:r>
          </w:p>
        </w:tc>
      </w:tr>
      <w:tr>
        <w:trPr>
          <w:trHeight w:val="142"/>
        </w:trPr>
        <w:tc>
          <w:tcPr>
            <w:tcW w:w="4180" w:type="dxa"/>
            <w:vAlign w:val="bottom"/>
          </w:tcPr>
          <w:p>
            <w:pPr>
              <w:jc w:val="center"/>
              <w:ind w:right="1722"/>
              <w:spacing w:after="0" w:line="143"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2880" w:type="dxa"/>
            <w:vAlign w:val="bottom"/>
          </w:tcPr>
          <w:p>
            <w:pPr>
              <w:jc w:val="center"/>
              <w:ind w:left="1724"/>
              <w:spacing w:after="0" w:line="143"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3"/>
        </w:trPr>
        <w:tc>
          <w:tcPr>
            <w:tcW w:w="4180" w:type="dxa"/>
            <w:vAlign w:val="bottom"/>
          </w:tcPr>
          <w:p>
            <w:pPr>
              <w:jc w:val="center"/>
              <w:ind w:right="1742"/>
              <w:spacing w:after="0"/>
              <w:rPr>
                <w:sz w:val="20"/>
                <w:szCs w:val="20"/>
                <w:color w:val="auto"/>
              </w:rPr>
            </w:pPr>
            <w:r>
              <w:rPr>
                <w:rFonts w:ascii="Times New Roman" w:cs="Times New Roman" w:eastAsia="Times New Roman" w:hAnsi="Times New Roman"/>
                <w:sz w:val="14"/>
                <w:szCs w:val="14"/>
                <w:b w:val="1"/>
                <w:bCs w:val="1"/>
                <w:color w:val="auto"/>
                <w:w w:val="98"/>
              </w:rPr>
              <w:t>incorporation or organization)</w:t>
            </w:r>
          </w:p>
        </w:tc>
        <w:tc>
          <w:tcPr>
            <w:tcW w:w="2880" w:type="dxa"/>
            <w:vAlign w:val="bottom"/>
          </w:tcPr>
          <w:p>
            <w:pPr>
              <w:jc w:val="center"/>
              <w:ind w:left="1724"/>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378"/>
        </w:trPr>
        <w:tc>
          <w:tcPr>
            <w:tcW w:w="4180" w:type="dxa"/>
            <w:vAlign w:val="bottom"/>
          </w:tcPr>
          <w:p>
            <w:pPr>
              <w:jc w:val="center"/>
              <w:ind w:right="1722"/>
              <w:spacing w:after="0"/>
              <w:rPr>
                <w:sz w:val="20"/>
                <w:szCs w:val="20"/>
                <w:color w:val="auto"/>
              </w:rPr>
            </w:pPr>
            <w:r>
              <w:rPr>
                <w:rFonts w:ascii="Times New Roman" w:cs="Times New Roman" w:eastAsia="Times New Roman" w:hAnsi="Times New Roman"/>
                <w:sz w:val="17"/>
                <w:szCs w:val="17"/>
                <w:b w:val="1"/>
                <w:bCs w:val="1"/>
                <w:color w:val="auto"/>
              </w:rPr>
              <w:t>830 Winter Street</w:t>
            </w:r>
          </w:p>
        </w:tc>
        <w:tc>
          <w:tcPr>
            <w:tcW w:w="2880" w:type="dxa"/>
            <w:vAlign w:val="bottom"/>
          </w:tcPr>
          <w:p>
            <w:pPr>
              <w:spacing w:after="0"/>
              <w:rPr>
                <w:sz w:val="24"/>
                <w:szCs w:val="24"/>
                <w:color w:val="auto"/>
              </w:rPr>
            </w:pPr>
          </w:p>
        </w:tc>
      </w:tr>
      <w:tr>
        <w:trPr>
          <w:trHeight w:val="216"/>
        </w:trPr>
        <w:tc>
          <w:tcPr>
            <w:tcW w:w="4180" w:type="dxa"/>
            <w:vAlign w:val="bottom"/>
          </w:tcPr>
          <w:p>
            <w:pPr>
              <w:jc w:val="center"/>
              <w:ind w:right="1722"/>
              <w:spacing w:after="0"/>
              <w:rPr>
                <w:sz w:val="20"/>
                <w:szCs w:val="20"/>
                <w:color w:val="auto"/>
              </w:rPr>
            </w:pPr>
            <w:r>
              <w:rPr>
                <w:rFonts w:ascii="Times New Roman" w:cs="Times New Roman" w:eastAsia="Times New Roman" w:hAnsi="Times New Roman"/>
                <w:sz w:val="17"/>
                <w:szCs w:val="17"/>
                <w:b w:val="1"/>
                <w:bCs w:val="1"/>
                <w:color w:val="auto"/>
              </w:rPr>
              <w:t>Waltham, Massachusetts</w:t>
            </w:r>
          </w:p>
        </w:tc>
        <w:tc>
          <w:tcPr>
            <w:tcW w:w="2880" w:type="dxa"/>
            <w:vAlign w:val="bottom"/>
          </w:tcPr>
          <w:p>
            <w:pPr>
              <w:jc w:val="right"/>
              <w:ind w:right="244"/>
              <w:spacing w:after="0"/>
              <w:rPr>
                <w:sz w:val="20"/>
                <w:szCs w:val="20"/>
                <w:color w:val="auto"/>
              </w:rPr>
            </w:pPr>
            <w:r>
              <w:rPr>
                <w:rFonts w:ascii="Times New Roman" w:cs="Times New Roman" w:eastAsia="Times New Roman" w:hAnsi="Times New Roman"/>
                <w:sz w:val="17"/>
                <w:szCs w:val="17"/>
                <w:b w:val="1"/>
                <w:bCs w:val="1"/>
                <w:color w:val="auto"/>
              </w:rPr>
              <w:t>02451</w:t>
            </w:r>
          </w:p>
        </w:tc>
      </w:tr>
      <w:tr>
        <w:trPr>
          <w:trHeight w:val="183"/>
        </w:trPr>
        <w:tc>
          <w:tcPr>
            <w:tcW w:w="4180" w:type="dxa"/>
            <w:vAlign w:val="bottom"/>
          </w:tcPr>
          <w:p>
            <w:pPr>
              <w:jc w:val="center"/>
              <w:ind w:right="1742"/>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w:t>
            </w:r>
          </w:p>
        </w:tc>
        <w:tc>
          <w:tcPr>
            <w:tcW w:w="2880" w:type="dxa"/>
            <w:vAlign w:val="bottom"/>
          </w:tcPr>
          <w:p>
            <w:pPr>
              <w:jc w:val="center"/>
              <w:ind w:left="1724"/>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bl>
    <w:p>
      <w:pPr>
        <w:spacing w:after="0" w:line="1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TSCAN THERAPEUTICS, INC. AMENDED AND RESTATED 2021 EQUITY INCENTIVE PLAN</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TSCAN THERAPEUTICS, INC. 2021 EMPLOYEE STOCK PURCHASE PLAN</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Gavin MacBeath</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TScan Therapeutics, Inc.</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830 Winter Street</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Waltham, Massachusetts 02451</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(857) 399-9500</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214630</wp:posOffset>
            </wp:positionV>
            <wp:extent cx="1414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Mitchell S. Bloom, Esq.</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William D. Collins, Esq.</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Finnbarr Murphy, Esq.</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Goodwin Procter LLP</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100 Northern Avenue</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Boston, Massachusetts 02210</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220980</wp:posOffset>
            </wp:positionV>
            <wp:extent cx="1414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90"/>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36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3040"/>
              <w:spacing w:after="0"/>
              <w:rPr>
                <w:sz w:val="20"/>
                <w:szCs w:val="20"/>
                <w:color w:val="auto"/>
              </w:rPr>
            </w:pPr>
            <w:r>
              <w:rPr>
                <w:rFonts w:ascii="Times New Roman" w:cs="Times New Roman" w:eastAsia="Times New Roman" w:hAnsi="Times New Roman"/>
                <w:sz w:val="17"/>
                <w:szCs w:val="17"/>
                <w:color w:val="auto"/>
              </w:rPr>
              <w:t>Accelerated filer</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36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30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17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100" w:type="dxa"/>
            <w:vAlign w:val="bottom"/>
          </w:tcPr>
          <w:p>
            <w:pPr>
              <w:ind w:left="3040"/>
              <w:spacing w:after="0"/>
              <w:rPr>
                <w:sz w:val="20"/>
                <w:szCs w:val="20"/>
                <w:color w:val="auto"/>
              </w:rPr>
            </w:pPr>
            <w:r>
              <w:rPr>
                <w:rFonts w:ascii="Times New Roman" w:cs="Times New Roman" w:eastAsia="Times New Roman" w:hAnsi="Times New Roman"/>
                <w:sz w:val="17"/>
                <w:szCs w:val="17"/>
                <w:color w:val="auto"/>
              </w:rPr>
              <w:t>Emerging growth company</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63" w:lineRule="exact"/>
        <w:rPr>
          <w:sz w:val="24"/>
          <w:szCs w:val="24"/>
          <w:color w:val="auto"/>
        </w:rPr>
      </w:pPr>
    </w:p>
    <w:p>
      <w:pPr>
        <w:ind w:right="24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6710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6710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ectPr>
          <w:pgSz w:w="11900" w:h="16838" w:orient="portrait"/>
          <w:cols w:equalWidth="0" w:num="1">
            <w:col w:w="10520"/>
          </w:cols>
          <w:pgMar w:left="660" w:top="223" w:right="71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EXPLANATORY NOTE</w:t>
      </w:r>
    </w:p>
    <w:p>
      <w:pPr>
        <w:spacing w:after="0" w:line="221" w:lineRule="exact"/>
        <w:rPr>
          <w:sz w:val="20"/>
          <w:szCs w:val="20"/>
          <w:color w:val="auto"/>
        </w:rPr>
      </w:pPr>
    </w:p>
    <w:p>
      <w:pPr>
        <w:spacing w:after="0" w:line="256" w:lineRule="auto"/>
        <w:rPr>
          <w:rFonts w:ascii="Times New Roman" w:cs="Times New Roman" w:eastAsia="Times New Roman" w:hAnsi="Times New Roman"/>
          <w:sz w:val="17"/>
          <w:szCs w:val="17"/>
          <w:color w:val="000000"/>
        </w:rPr>
      </w:pPr>
      <w:r>
        <w:rPr>
          <w:rFonts w:ascii="Times New Roman" w:cs="Times New Roman" w:eastAsia="Times New Roman" w:hAnsi="Times New Roman"/>
          <w:sz w:val="17"/>
          <w:szCs w:val="17"/>
          <w:color w:val="auto"/>
        </w:rPr>
        <w:t xml:space="preserve">This Registration Statement on Form S-8 registers (i) 5,196,535 additional shares of common stock, $0.0001 par value per share (“Common Stock”), of TScan Therapeutics, Inc. (the “Registrant”), under the TScan Therapeutics, Inc. Amended and Restated 2021 Equity Incentive Plan (the “2021 Plan”) and (ii) 569,016 additional shares of Common Stock under the TScan Therapeutics, Inc. 2021 Employee Stock Purchase Plan (the “2021 ESPP”). The number of shares of Common Stock reserved and available for issuance under the 2021 Plan is subject to an automatic annual increase on each January 1, beginning in 2022, by an amount equal to the lower of (i) four percent of the number of shares of Common Stock outstanding (including the shares of Common Stock underlying outstanding pre-funded warrants) on the immediately preceding December 31 and (ii) an amount of shares determined by our Board of Directors. Accordingly, on January 1, 2026, the number of shares of Common Stock reserved and available for issuance under the 2021 Plan increased by 5,196,535. The additional shares are of the same class as other securities relating to the 2021 Plan for which the Registrant’s registration statements filed on Form S-8 with the Securities and Exchange Commission on </w:t>
      </w:r>
      <w:hyperlink r:id="rId18">
        <w:r>
          <w:rPr>
            <w:rFonts w:ascii="Times New Roman" w:cs="Times New Roman" w:eastAsia="Times New Roman" w:hAnsi="Times New Roman"/>
            <w:sz w:val="17"/>
            <w:szCs w:val="17"/>
            <w:u w:val="single" w:color="auto"/>
            <w:color w:val="0000EE"/>
          </w:rPr>
          <w:t>July 16, 2021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(Registration No. 333-257941), </w:t>
      </w:r>
      <w:hyperlink r:id="rId19">
        <w:r>
          <w:rPr>
            <w:rFonts w:ascii="Times New Roman" w:cs="Times New Roman" w:eastAsia="Times New Roman" w:hAnsi="Times New Roman"/>
            <w:sz w:val="17"/>
            <w:szCs w:val="17"/>
            <w:u w:val="single" w:color="auto"/>
            <w:color w:val="0000EE"/>
          </w:rPr>
          <w:t>March 9, 2022</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(Registration No. 333-263380),</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u w:val="single" w:color="auto"/>
            <w:color w:val="0000EE"/>
          </w:rPr>
          <w:t>March 8, 2023</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(Registration No. 333-270343),</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u w:val="single" w:color="auto"/>
            <w:color w:val="0000EE"/>
          </w:rPr>
          <w:t>June 16, 2023</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(Registration No. 333-272733),</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u w:val="single" w:color="auto"/>
            <w:color w:val="0000EE"/>
          </w:rPr>
          <w:t>March 6,</w:t>
        </w:r>
      </w:hyperlink>
      <w:r>
        <w:rPr>
          <w:rFonts w:ascii="Times New Roman" w:cs="Times New Roman" w:eastAsia="Times New Roman" w:hAnsi="Times New Roman"/>
          <w:sz w:val="17"/>
          <w:szCs w:val="17"/>
          <w:color w:val="0000EE"/>
        </w:rPr>
        <w:t xml:space="preserve"> </w:t>
      </w:r>
      <w:hyperlink r:id="rId19">
        <w:r>
          <w:rPr>
            <w:rFonts w:ascii="Times New Roman" w:cs="Times New Roman" w:eastAsia="Times New Roman" w:hAnsi="Times New Roman"/>
            <w:sz w:val="17"/>
            <w:szCs w:val="17"/>
            <w:u w:val="single" w:color="auto"/>
            <w:color w:val="0000EE"/>
          </w:rPr>
          <w:t>2024</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(Registration No. 333-277695),</w:t>
        </w:r>
        <w:r>
          <w:rPr>
            <w:rFonts w:ascii="Times New Roman" w:cs="Times New Roman" w:eastAsia="Times New Roman" w:hAnsi="Times New Roman"/>
            <w:sz w:val="17"/>
            <w:szCs w:val="17"/>
            <w:color w:val="0000EE"/>
          </w:rPr>
          <w:t xml:space="preserve"> </w:t>
        </w:r>
      </w:hyperlink>
      <w:hyperlink r:id="rId20">
        <w:r>
          <w:rPr>
            <w:rFonts w:ascii="Times New Roman" w:cs="Times New Roman" w:eastAsia="Times New Roman" w:hAnsi="Times New Roman"/>
            <w:sz w:val="17"/>
            <w:szCs w:val="17"/>
            <w:u w:val="single" w:color="auto"/>
            <w:color w:val="0000EE"/>
          </w:rPr>
          <w:t xml:space="preserve">June 14, 2024 </w:t>
        </w:r>
      </w:hyperlink>
      <w:hyperlink r:id="rId19">
        <w:r>
          <w:rPr>
            <w:rFonts w:ascii="Times New Roman" w:cs="Times New Roman" w:eastAsia="Times New Roman" w:hAnsi="Times New Roman"/>
            <w:sz w:val="17"/>
            <w:szCs w:val="17"/>
            <w:color w:val="000000"/>
          </w:rPr>
          <w:t>(Registration No. 333-280212) and</w:t>
        </w:r>
        <w:r>
          <w:rPr>
            <w:rFonts w:ascii="Times New Roman" w:cs="Times New Roman" w:eastAsia="Times New Roman" w:hAnsi="Times New Roman"/>
            <w:sz w:val="17"/>
            <w:szCs w:val="17"/>
            <w:color w:val="0000EE"/>
          </w:rPr>
          <w:t xml:space="preserve"> </w:t>
        </w:r>
      </w:hyperlink>
      <w:hyperlink r:id="rId21">
        <w:r>
          <w:rPr>
            <w:rFonts w:ascii="Times New Roman" w:cs="Times New Roman" w:eastAsia="Times New Roman" w:hAnsi="Times New Roman"/>
            <w:sz w:val="17"/>
            <w:szCs w:val="17"/>
            <w:u w:val="single" w:color="auto"/>
            <w:color w:val="0000EE"/>
          </w:rPr>
          <w:t xml:space="preserve">March 5, 2025 </w:t>
        </w:r>
      </w:hyperlink>
      <w:hyperlink r:id="rId19">
        <w:r>
          <w:rPr>
            <w:rFonts w:ascii="Times New Roman" w:cs="Times New Roman" w:eastAsia="Times New Roman" w:hAnsi="Times New Roman"/>
            <w:sz w:val="17"/>
            <w:szCs w:val="17"/>
            <w:color w:val="000000"/>
          </w:rPr>
          <w:t>(Registration No. 333-285571) are effective.</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 xml:space="preserve">The number of shares of Common Stock reserved and available for issuance under the 2021 ESPP is subject to an automatic annual increase on each January 1, beginning in 2022, by an amount equal to the least of (i) one percent of the number of shares of Common Stock issued and outstanding on the immediately preceding December 31 or (ii) such number of shares of Common Stock as determined by our Board of Directors. Accordingly, on January 1, 2026, the number of shares of Common Stock reserved and available for issuance under the 2021 ESPP increased by 569,016. The additional shares are of the same class as other securities relating to the 2021 ESPP for which the Registrant’s registration statements filed on Form S-8 with the Securities and Exchange Commission on </w:t>
      </w:r>
      <w:hyperlink r:id="rId18">
        <w:r>
          <w:rPr>
            <w:rFonts w:ascii="Times New Roman" w:cs="Times New Roman" w:eastAsia="Times New Roman" w:hAnsi="Times New Roman"/>
            <w:sz w:val="17"/>
            <w:szCs w:val="17"/>
            <w:u w:val="single" w:color="auto"/>
            <w:color w:val="0000EE"/>
          </w:rPr>
          <w:t>July 16, 2021</w:t>
        </w:r>
        <w:r>
          <w:rPr>
            <w:rFonts w:ascii="Times New Roman" w:cs="Times New Roman" w:eastAsia="Times New Roman" w:hAnsi="Times New Roman"/>
            <w:sz w:val="17"/>
            <w:szCs w:val="17"/>
            <w:u w:val="single" w:color="auto"/>
            <w:color w:val="000000"/>
          </w:rPr>
          <w:t xml:space="preserve"> </w:t>
        </w:r>
      </w:hyperlink>
      <w:r>
        <w:rPr>
          <w:rFonts w:ascii="Times New Roman" w:cs="Times New Roman" w:eastAsia="Times New Roman" w:hAnsi="Times New Roman"/>
          <w:sz w:val="17"/>
          <w:szCs w:val="17"/>
          <w:color w:val="000000"/>
        </w:rPr>
        <w:t xml:space="preserve">(Registration No. 333-257941), </w:t>
      </w:r>
      <w:hyperlink r:id="rId22">
        <w:r>
          <w:rPr>
            <w:rFonts w:ascii="Times New Roman" w:cs="Times New Roman" w:eastAsia="Times New Roman" w:hAnsi="Times New Roman"/>
            <w:sz w:val="17"/>
            <w:szCs w:val="17"/>
            <w:u w:val="single" w:color="auto"/>
            <w:color w:val="0000EE"/>
          </w:rPr>
          <w:t>March 9, 2022</w:t>
        </w:r>
        <w:r>
          <w:rPr>
            <w:rFonts w:ascii="Times New Roman" w:cs="Times New Roman" w:eastAsia="Times New Roman" w:hAnsi="Times New Roman"/>
            <w:sz w:val="17"/>
            <w:szCs w:val="17"/>
            <w:u w:val="single" w:color="auto"/>
            <w:color w:val="000000"/>
          </w:rPr>
          <w:t xml:space="preserve"> </w:t>
        </w:r>
      </w:hyperlink>
      <w:r>
        <w:rPr>
          <w:rFonts w:ascii="Times New Roman" w:cs="Times New Roman" w:eastAsia="Times New Roman" w:hAnsi="Times New Roman"/>
          <w:sz w:val="17"/>
          <w:szCs w:val="17"/>
          <w:color w:val="000000"/>
        </w:rPr>
        <w:t xml:space="preserve">(Registration No. 333-263380), </w:t>
      </w:r>
      <w:hyperlink r:id="rId23">
        <w:r>
          <w:rPr>
            <w:rFonts w:ascii="Times New Roman" w:cs="Times New Roman" w:eastAsia="Times New Roman" w:hAnsi="Times New Roman"/>
            <w:sz w:val="17"/>
            <w:szCs w:val="17"/>
            <w:u w:val="single" w:color="auto"/>
            <w:color w:val="0000EE"/>
          </w:rPr>
          <w:t>March 8, 2023</w:t>
        </w:r>
      </w:hyperlink>
      <w:r>
        <w:rPr>
          <w:rFonts w:ascii="Times New Roman" w:cs="Times New Roman" w:eastAsia="Times New Roman" w:hAnsi="Times New Roman"/>
          <w:sz w:val="17"/>
          <w:szCs w:val="17"/>
          <w:color w:val="000000"/>
        </w:rPr>
        <w:t xml:space="preserve"> (Registration No. 333-270343), </w:t>
      </w:r>
      <w:hyperlink r:id="rId19">
        <w:r>
          <w:rPr>
            <w:rFonts w:ascii="Times New Roman" w:cs="Times New Roman" w:eastAsia="Times New Roman" w:hAnsi="Times New Roman"/>
            <w:sz w:val="17"/>
            <w:szCs w:val="17"/>
            <w:u w:val="single" w:color="auto"/>
            <w:color w:val="0000EE"/>
          </w:rPr>
          <w:t>March 6, 2024</w:t>
        </w:r>
        <w:r>
          <w:rPr>
            <w:rFonts w:ascii="Times New Roman" w:cs="Times New Roman" w:eastAsia="Times New Roman" w:hAnsi="Times New Roman"/>
            <w:sz w:val="17"/>
            <w:szCs w:val="17"/>
            <w:u w:val="single" w:color="auto"/>
            <w:color w:val="000000"/>
          </w:rPr>
          <w:t xml:space="preserve"> </w:t>
        </w:r>
      </w:hyperlink>
      <w:r>
        <w:rPr>
          <w:rFonts w:ascii="Times New Roman" w:cs="Times New Roman" w:eastAsia="Times New Roman" w:hAnsi="Times New Roman"/>
          <w:sz w:val="17"/>
          <w:szCs w:val="17"/>
          <w:color w:val="000000"/>
        </w:rPr>
        <w:t xml:space="preserve">(Registration No. 333-277695) and </w:t>
      </w:r>
      <w:hyperlink r:id="rId21">
        <w:r>
          <w:rPr>
            <w:rFonts w:ascii="Times New Roman" w:cs="Times New Roman" w:eastAsia="Times New Roman" w:hAnsi="Times New Roman"/>
            <w:sz w:val="17"/>
            <w:szCs w:val="17"/>
            <w:u w:val="single" w:color="auto"/>
            <w:color w:val="0000EE"/>
          </w:rPr>
          <w:t>March 5, 2025</w:t>
        </w:r>
        <w:r>
          <w:rPr>
            <w:rFonts w:ascii="Times New Roman" w:cs="Times New Roman" w:eastAsia="Times New Roman" w:hAnsi="Times New Roman"/>
            <w:sz w:val="17"/>
            <w:szCs w:val="17"/>
            <w:u w:val="single" w:color="auto"/>
            <w:color w:val="000000"/>
          </w:rPr>
          <w:t xml:space="preserve"> </w:t>
        </w:r>
      </w:hyperlink>
      <w:r>
        <w:rPr>
          <w:rFonts w:ascii="Times New Roman" w:cs="Times New Roman" w:eastAsia="Times New Roman" w:hAnsi="Times New Roman"/>
          <w:sz w:val="17"/>
          <w:szCs w:val="17"/>
          <w:color w:val="000000"/>
        </w:rPr>
        <w:t>(Registration No. 333-285571) are effective. The information contained in the Registrant’s registration statements on Form S-8 (Registration No. 333-257941, No. 333-263380, No. 333-270343, No. 333-272733, No. 333-277695, No. 333-280212 and No. 333-285571) is hereby incorporated by reference pursuant to General Instruction E.</w:t>
      </w:r>
    </w:p>
    <w:p>
      <w:pPr>
        <w:sectPr>
          <w:pgSz w:w="11900" w:h="16838" w:orient="portrait"/>
          <w:cols w:equalWidth="0" w:num="1">
            <w:col w:w="10540"/>
          </w:cols>
          <w:pgMar w:left="660" w:top="262" w:right="69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Part II</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REQUIRED IN THE REGISTRATION STATEMENT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 8.</w:t>
            </w:r>
          </w:p>
        </w:tc>
        <w:tc>
          <w:tcPr>
            <w:tcW w:w="9780" w:type="dxa"/>
            <w:vAlign w:val="bottom"/>
            <w:gridSpan w:val="14"/>
          </w:tcPr>
          <w:p>
            <w:pPr>
              <w:ind w:left="160"/>
              <w:spacing w:after="0"/>
              <w:rPr>
                <w:sz w:val="20"/>
                <w:szCs w:val="20"/>
                <w:color w:val="auto"/>
              </w:rPr>
            </w:pPr>
            <w:r>
              <w:rPr>
                <w:rFonts w:ascii="Times New Roman" w:cs="Times New Roman" w:eastAsia="Times New Roman" w:hAnsi="Times New Roman"/>
                <w:sz w:val="17"/>
                <w:szCs w:val="17"/>
                <w:b w:val="1"/>
                <w:bCs w:val="1"/>
                <w:color w:val="auto"/>
              </w:rPr>
              <w:t>Exhibits.</w:t>
            </w:r>
          </w:p>
        </w:tc>
        <w:tc>
          <w:tcPr>
            <w:tcW w:w="0" w:type="dxa"/>
            <w:vAlign w:val="bottom"/>
          </w:tcPr>
          <w:p>
            <w:pPr>
              <w:spacing w:after="0"/>
              <w:rPr>
                <w:sz w:val="1"/>
                <w:szCs w:val="1"/>
                <w:color w:val="auto"/>
              </w:rPr>
            </w:pPr>
          </w:p>
        </w:tc>
      </w:tr>
      <w:tr>
        <w:trPr>
          <w:trHeight w:val="351"/>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60" w:type="dxa"/>
            <w:vAlign w:val="bottom"/>
            <w:gridSpan w:val="10"/>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7"/>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6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4.1</w:t>
            </w:r>
          </w:p>
        </w:tc>
        <w:tc>
          <w:tcPr>
            <w:tcW w:w="300" w:type="dxa"/>
            <w:vAlign w:val="bottom"/>
          </w:tcPr>
          <w:p>
            <w:pPr>
              <w:spacing w:after="0"/>
              <w:rPr>
                <w:sz w:val="21"/>
                <w:szCs w:val="21"/>
                <w:color w:val="auto"/>
              </w:rPr>
            </w:pPr>
          </w:p>
        </w:tc>
        <w:tc>
          <w:tcPr>
            <w:tcW w:w="9480" w:type="dxa"/>
            <w:vAlign w:val="bottom"/>
            <w:tcBorders>
              <w:top w:val="single" w:sz="8" w:color="auto"/>
              <w:bottom w:val="single" w:sz="8" w:color="0000EE"/>
            </w:tcBorders>
            <w:gridSpan w:val="10"/>
          </w:tcPr>
          <w:p>
            <w:pPr>
              <w:spacing w:after="0"/>
              <w:rPr>
                <w:rFonts w:ascii="Times New Roman" w:cs="Times New Roman" w:eastAsia="Times New Roman" w:hAnsi="Times New Roman"/>
                <w:sz w:val="17"/>
                <w:szCs w:val="17"/>
                <w:color w:val="0000EE"/>
              </w:rPr>
            </w:pPr>
            <w:hyperlink r:id="rId25">
              <w:r>
                <w:rPr>
                  <w:rFonts w:ascii="Times New Roman" w:cs="Times New Roman" w:eastAsia="Times New Roman" w:hAnsi="Times New Roman"/>
                  <w:sz w:val="17"/>
                  <w:szCs w:val="17"/>
                  <w:color w:val="0000EE"/>
                </w:rPr>
                <w:t>Amended and Restated Certificate of Incorporation of the Registrant (Incorporated by reference to Exhibit 3.1 to the Registrant’s Current</w:t>
              </w:r>
            </w:hyperlink>
          </w:p>
        </w:tc>
        <w:tc>
          <w:tcPr>
            <w:tcW w:w="300" w:type="dxa"/>
            <w:vAlign w:val="bottom"/>
            <w:tcBorders>
              <w:top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40" w:type="dxa"/>
            <w:vAlign w:val="bottom"/>
            <w:tcBorders>
              <w:bottom w:val="single" w:sz="8" w:color="0000EE"/>
            </w:tcBorders>
            <w:gridSpan w:val="8"/>
          </w:tcPr>
          <w:p>
            <w:pPr>
              <w:spacing w:after="0" w:line="187" w:lineRule="exact"/>
              <w:rPr>
                <w:rFonts w:ascii="Times New Roman" w:cs="Times New Roman" w:eastAsia="Times New Roman" w:hAnsi="Times New Roman"/>
                <w:sz w:val="17"/>
                <w:szCs w:val="17"/>
                <w:color w:val="0000EE"/>
              </w:rPr>
            </w:pPr>
            <w:hyperlink r:id="rId25">
              <w:r>
                <w:rPr>
                  <w:rFonts w:ascii="Times New Roman" w:cs="Times New Roman" w:eastAsia="Times New Roman" w:hAnsi="Times New Roman"/>
                  <w:sz w:val="17"/>
                  <w:szCs w:val="17"/>
                  <w:color w:val="0000EE"/>
                </w:rPr>
                <w:t>Report on Form 8-K (File No. 001-40603) filed with the Securities and Exchange Commission on July 20, 2021).</w:t>
              </w:r>
            </w:hyperlink>
          </w:p>
        </w:tc>
        <w:tc>
          <w:tcPr>
            <w:tcW w:w="194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4.2</w:t>
            </w:r>
          </w:p>
        </w:tc>
        <w:tc>
          <w:tcPr>
            <w:tcW w:w="300" w:type="dxa"/>
            <w:vAlign w:val="bottom"/>
          </w:tcPr>
          <w:p>
            <w:pPr>
              <w:spacing w:after="0"/>
              <w:rPr>
                <w:sz w:val="24"/>
                <w:szCs w:val="24"/>
                <w:color w:val="auto"/>
              </w:rPr>
            </w:pPr>
          </w:p>
        </w:tc>
        <w:tc>
          <w:tcPr>
            <w:tcW w:w="9780" w:type="dxa"/>
            <w:vAlign w:val="bottom"/>
            <w:gridSpan w:val="14"/>
          </w:tcPr>
          <w:p>
            <w:pPr>
              <w:spacing w:after="0"/>
              <w:rPr>
                <w:rFonts w:ascii="Times New Roman" w:cs="Times New Roman" w:eastAsia="Times New Roman" w:hAnsi="Times New Roman"/>
                <w:sz w:val="17"/>
                <w:szCs w:val="17"/>
                <w:color w:val="0000EE"/>
              </w:rPr>
            </w:pPr>
            <w:hyperlink r:id="rId26">
              <w:r>
                <w:rPr>
                  <w:rFonts w:ascii="Times New Roman" w:cs="Times New Roman" w:eastAsia="Times New Roman" w:hAnsi="Times New Roman"/>
                  <w:sz w:val="17"/>
                  <w:szCs w:val="17"/>
                  <w:color w:val="0000EE"/>
                </w:rPr>
                <w:t>Amended and Restated By-laws of the Registrant (Incorporated by reference to Exhibit 3.2 to the Registrant’s Current Report on Form 8-K</w:t>
              </w:r>
            </w:hyperlink>
          </w:p>
        </w:tc>
        <w:tc>
          <w:tcPr>
            <w:tcW w:w="0" w:type="dxa"/>
            <w:vAlign w:val="bottom"/>
          </w:tcPr>
          <w:p>
            <w:pPr>
              <w:spacing w:after="0"/>
              <w:rPr>
                <w:sz w:val="1"/>
                <w:szCs w:val="1"/>
                <w:color w:val="auto"/>
              </w:rPr>
            </w:pPr>
          </w:p>
        </w:tc>
      </w:tr>
      <w:tr>
        <w:trPr>
          <w:trHeight w:val="187"/>
        </w:trPr>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0" w:type="dxa"/>
            <w:vAlign w:val="bottom"/>
            <w:tcBorders>
              <w:top w:val="single" w:sz="8" w:color="0000EE"/>
            </w:tcBorders>
            <w:gridSpan w:val="11"/>
          </w:tcPr>
          <w:p>
            <w:pPr>
              <w:spacing w:after="0" w:line="187" w:lineRule="exact"/>
              <w:rPr>
                <w:rFonts w:ascii="Times New Roman" w:cs="Times New Roman" w:eastAsia="Times New Roman" w:hAnsi="Times New Roman"/>
                <w:sz w:val="17"/>
                <w:szCs w:val="17"/>
                <w:color w:val="0000EE"/>
              </w:rPr>
            </w:pPr>
            <w:hyperlink r:id="rId26">
              <w:r>
                <w:rPr>
                  <w:rFonts w:ascii="Times New Roman" w:cs="Times New Roman" w:eastAsia="Times New Roman" w:hAnsi="Times New Roman"/>
                  <w:sz w:val="17"/>
                  <w:szCs w:val="17"/>
                  <w:color w:val="0000EE"/>
                </w:rPr>
                <w:t>(File No. 001-40603) filed with the Securities and Exchange Commission on July 20, 2021).</w:t>
              </w:r>
            </w:hyperlink>
          </w:p>
        </w:tc>
        <w:tc>
          <w:tcPr>
            <w:tcW w:w="1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5.1*</w:t>
            </w:r>
          </w:p>
        </w:tc>
        <w:tc>
          <w:tcPr>
            <w:tcW w:w="30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rPr>
              <w:t>Opinion of Goodwin Procter LLP.</w:t>
            </w:r>
          </w:p>
        </w:tc>
        <w:tc>
          <w:tcPr>
            <w:tcW w:w="4020" w:type="dxa"/>
            <w:vAlign w:val="bottom"/>
            <w:tcBorders>
              <w:top w:val="single" w:sz="8" w:color="0000EE"/>
            </w:tcBorders>
            <w:gridSpan w:val="5"/>
          </w:tcPr>
          <w:p>
            <w:pPr>
              <w:spacing w:after="0"/>
              <w:rPr>
                <w:sz w:val="24"/>
                <w:szCs w:val="24"/>
                <w:color w:val="auto"/>
              </w:rPr>
            </w:pPr>
          </w:p>
        </w:tc>
        <w:tc>
          <w:tcPr>
            <w:tcW w:w="34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300" w:type="dxa"/>
            <w:vAlign w:val="bottom"/>
          </w:tcPr>
          <w:p>
            <w:pPr>
              <w:spacing w:after="0"/>
              <w:rPr>
                <w:sz w:val="24"/>
                <w:szCs w:val="24"/>
                <w:color w:val="auto"/>
              </w:rPr>
            </w:pPr>
          </w:p>
        </w:tc>
        <w:tc>
          <w:tcPr>
            <w:tcW w:w="57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Consent of Deloitte &amp; Touche LLP, independent registered public accounting firm.</w:t>
            </w:r>
          </w:p>
        </w:tc>
        <w:tc>
          <w:tcPr>
            <w:tcW w:w="40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23.2*</w:t>
            </w:r>
          </w:p>
        </w:tc>
        <w:tc>
          <w:tcPr>
            <w:tcW w:w="300" w:type="dxa"/>
            <w:vAlign w:val="bottom"/>
          </w:tcPr>
          <w:p>
            <w:pPr>
              <w:spacing w:after="0"/>
              <w:rPr>
                <w:sz w:val="24"/>
                <w:szCs w:val="24"/>
                <w:color w:val="auto"/>
              </w:rPr>
            </w:pPr>
          </w:p>
        </w:tc>
        <w:tc>
          <w:tcPr>
            <w:tcW w:w="41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Consent of Goodwin Procter LLP (included in Exhibit 5.1).</w:t>
            </w:r>
          </w:p>
        </w:tc>
        <w:tc>
          <w:tcPr>
            <w:tcW w:w="56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24.1*</w:t>
            </w:r>
          </w:p>
        </w:tc>
        <w:tc>
          <w:tcPr>
            <w:tcW w:w="300" w:type="dxa"/>
            <w:vAlign w:val="bottom"/>
          </w:tcPr>
          <w:p>
            <w:pPr>
              <w:spacing w:after="0"/>
              <w:rPr>
                <w:sz w:val="24"/>
                <w:szCs w:val="24"/>
                <w:color w:val="auto"/>
              </w:rPr>
            </w:pPr>
          </w:p>
        </w:tc>
        <w:tc>
          <w:tcPr>
            <w:tcW w:w="33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rPr>
              <w:t>Power of Attorney (included on signature page).</w:t>
            </w:r>
          </w:p>
        </w:tc>
        <w:tc>
          <w:tcPr>
            <w:tcW w:w="64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99.1</w:t>
            </w:r>
          </w:p>
        </w:tc>
        <w:tc>
          <w:tcPr>
            <w:tcW w:w="300" w:type="dxa"/>
            <w:vAlign w:val="bottom"/>
          </w:tcPr>
          <w:p>
            <w:pPr>
              <w:spacing w:after="0"/>
              <w:rPr>
                <w:sz w:val="24"/>
                <w:szCs w:val="24"/>
                <w:color w:val="auto"/>
              </w:rPr>
            </w:pPr>
          </w:p>
        </w:tc>
        <w:tc>
          <w:tcPr>
            <w:tcW w:w="964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27">
              <w:r>
                <w:rPr>
                  <w:rFonts w:ascii="Times New Roman" w:cs="Times New Roman" w:eastAsia="Times New Roman" w:hAnsi="Times New Roman"/>
                  <w:sz w:val="17"/>
                  <w:szCs w:val="17"/>
                  <w:color w:val="0000EE"/>
                </w:rPr>
                <w:t>TScan Therapeutics, Inc. 2021 Amended and Restated Equity Incentive Plan and form of agreements thereunder (incorporated by reference</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780" w:type="dxa"/>
            <w:vAlign w:val="bottom"/>
            <w:gridSpan w:val="14"/>
          </w:tcPr>
          <w:p>
            <w:pPr>
              <w:spacing w:after="0" w:line="187" w:lineRule="exact"/>
              <w:rPr>
                <w:rFonts w:ascii="Times New Roman" w:cs="Times New Roman" w:eastAsia="Times New Roman" w:hAnsi="Times New Roman"/>
                <w:sz w:val="17"/>
                <w:szCs w:val="17"/>
                <w:color w:val="0000EE"/>
              </w:rPr>
            </w:pPr>
            <w:hyperlink r:id="rId27">
              <w:r>
                <w:rPr>
                  <w:rFonts w:ascii="Times New Roman" w:cs="Times New Roman" w:eastAsia="Times New Roman" w:hAnsi="Times New Roman"/>
                  <w:sz w:val="17"/>
                  <w:szCs w:val="17"/>
                  <w:color w:val="0000EE"/>
                </w:rPr>
                <w:t>to Exhibit 10.1 to the Registrant’s Current Report on Form 8-K, filed with the Securities and Exchange Commission on June 14, 2024).</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020" w:type="dxa"/>
            <w:vAlign w:val="bottom"/>
            <w:gridSpan w:val="5"/>
            <w:shd w:val="clear" w:color="auto" w:fill="0000EE"/>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99.2</w:t>
            </w:r>
          </w:p>
        </w:tc>
        <w:tc>
          <w:tcPr>
            <w:tcW w:w="300" w:type="dxa"/>
            <w:vAlign w:val="bottom"/>
          </w:tcPr>
          <w:p>
            <w:pPr>
              <w:spacing w:after="0"/>
              <w:rPr>
                <w:sz w:val="24"/>
                <w:szCs w:val="24"/>
                <w:color w:val="auto"/>
              </w:rPr>
            </w:pPr>
          </w:p>
        </w:tc>
        <w:tc>
          <w:tcPr>
            <w:tcW w:w="9700" w:type="dxa"/>
            <w:vAlign w:val="bottom"/>
            <w:tcBorders>
              <w:bottom w:val="single" w:sz="8" w:color="0000EE"/>
            </w:tcBorders>
            <w:gridSpan w:val="13"/>
          </w:tcPr>
          <w:p>
            <w:pPr>
              <w:spacing w:after="0"/>
              <w:rPr>
                <w:rFonts w:ascii="Times New Roman" w:cs="Times New Roman" w:eastAsia="Times New Roman" w:hAnsi="Times New Roman"/>
                <w:sz w:val="17"/>
                <w:szCs w:val="17"/>
                <w:color w:val="0000EE"/>
              </w:rPr>
            </w:pPr>
            <w:hyperlink r:id="rId28">
              <w:r>
                <w:rPr>
                  <w:rFonts w:ascii="Times New Roman" w:cs="Times New Roman" w:eastAsia="Times New Roman" w:hAnsi="Times New Roman"/>
                  <w:sz w:val="17"/>
                  <w:szCs w:val="17"/>
                  <w:color w:val="0000EE"/>
                </w:rPr>
                <w:t>2021 Employee Stock Purchase Plan (Incorporated by reference to Exhibit 10.4 to the Registrant’s Registration Statement on Form S-1 (File</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180" w:type="dxa"/>
            <w:vAlign w:val="bottom"/>
            <w:tcBorders>
              <w:bottom w:val="single" w:sz="8" w:color="0000EE"/>
            </w:tcBorders>
            <w:gridSpan w:val="6"/>
          </w:tcPr>
          <w:p>
            <w:pPr>
              <w:spacing w:after="0" w:line="187" w:lineRule="exact"/>
              <w:rPr>
                <w:rFonts w:ascii="Times New Roman" w:cs="Times New Roman" w:eastAsia="Times New Roman" w:hAnsi="Times New Roman"/>
                <w:sz w:val="17"/>
                <w:szCs w:val="17"/>
                <w:color w:val="0000EE"/>
              </w:rPr>
            </w:pPr>
            <w:hyperlink r:id="rId28">
              <w:r>
                <w:rPr>
                  <w:rFonts w:ascii="Times New Roman" w:cs="Times New Roman" w:eastAsia="Times New Roman" w:hAnsi="Times New Roman"/>
                  <w:sz w:val="17"/>
                  <w:szCs w:val="17"/>
                  <w:color w:val="0000EE"/>
                </w:rPr>
                <w:t>No. 333-255491) filed with the Securities and Exchange Commission on April 23, 2021).</w:t>
              </w:r>
            </w:hyperlink>
          </w:p>
        </w:tc>
        <w:tc>
          <w:tcPr>
            <w:tcW w:w="360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w w:val="98"/>
              </w:rPr>
              <w:t>107.1*</w:t>
            </w:r>
          </w:p>
        </w:tc>
        <w:tc>
          <w:tcPr>
            <w:tcW w:w="300" w:type="dxa"/>
            <w:vAlign w:val="bottom"/>
          </w:tcPr>
          <w:p>
            <w:pPr>
              <w:spacing w:after="0"/>
              <w:rPr>
                <w:sz w:val="24"/>
                <w:szCs w:val="24"/>
                <w:color w:val="auto"/>
              </w:rPr>
            </w:pPr>
          </w:p>
        </w:tc>
        <w:tc>
          <w:tcPr>
            <w:tcW w:w="9780" w:type="dxa"/>
            <w:vAlign w:val="bottom"/>
            <w:gridSpan w:val="14"/>
          </w:tcPr>
          <w:p>
            <w:pPr>
              <w:spacing w:after="0"/>
              <w:rPr>
                <w:sz w:val="20"/>
                <w:szCs w:val="20"/>
                <w:color w:val="auto"/>
              </w:rPr>
            </w:pPr>
            <w:r>
              <w:rPr>
                <w:rFonts w:ascii="Times New Roman" w:cs="Times New Roman" w:eastAsia="Times New Roman" w:hAnsi="Times New Roman"/>
                <w:sz w:val="17"/>
                <w:szCs w:val="17"/>
                <w:color w:val="0000EE"/>
              </w:rPr>
              <w:t>Filing Fee Table.</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420" w:hanging="420"/>
        <w:spacing w:after="0"/>
        <w:tabs>
          <w:tab w:leader="none" w:pos="4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ectPr>
          <w:pgSz w:w="11900" w:h="16838" w:orient="portrait"/>
          <w:cols w:equalWidth="0" w:num="1">
            <w:col w:w="10560"/>
          </w:cols>
          <w:pgMar w:left="660" w:top="262" w:right="6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SIGNATURES</w:t>
      </w:r>
    </w:p>
    <w:p>
      <w:pPr>
        <w:spacing w:after="0" w:line="221" w:lineRule="exact"/>
        <w:rPr>
          <w:sz w:val="20"/>
          <w:szCs w:val="20"/>
          <w:color w:val="auto"/>
        </w:rPr>
      </w:pPr>
    </w:p>
    <w:p>
      <w:pPr>
        <w:ind w:right="320" w:firstLine="422"/>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Waltham, Commonwealth of Massachusetts, on March 4,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TScan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Gavin MacBeath,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19050</wp:posOffset>
            </wp:positionV>
            <wp:extent cx="24587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2458720" cy="8255"/>
                    </a:xfrm>
                    <a:prstGeom prst="rect">
                      <a:avLst/>
                    </a:prstGeom>
                    <a:noFill/>
                  </pic:spPr>
                </pic:pic>
              </a:graphicData>
            </a:graphic>
          </wp:anchor>
        </w:drawing>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Gavin MacBeath, Ph.D.</w:t>
      </w:r>
    </w:p>
    <w:p>
      <w:pPr>
        <w:spacing w:after="0" w:line="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 AND SIGNATURES</w:t>
      </w:r>
    </w:p>
    <w:p>
      <w:pPr>
        <w:spacing w:after="0" w:line="221" w:lineRule="exact"/>
        <w:rPr>
          <w:sz w:val="20"/>
          <w:szCs w:val="20"/>
          <w:color w:val="auto"/>
        </w:rPr>
      </w:pPr>
    </w:p>
    <w:p>
      <w:pPr>
        <w:ind w:firstLine="422"/>
        <w:spacing w:after="0" w:line="259"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Gavin MacBeath and Jason A. Amello, and each of them, as such person’s true and lawful attorneys-in-fact and agents, with full power of substitution and resubstitution in each of them, for such person in such person’s place and stead, in any and all capacities, to sign for us and in our names in the capacities indicated below the Registration Statement on Form S-8 of TScan Therapeutics, Inc., and any or all amendments (including post-effective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connection therewith and about the premises, as fully to all intents and purposes as he might or could do in person, hereby ratifying and confirming all that said attorneys-in-fact and agents or any of them, or substitutes of any of them, may lawfully do or cause to be done by virtue hereof.</w:t>
      </w:r>
    </w:p>
    <w:p>
      <w:pPr>
        <w:spacing w:after="0" w:line="177" w:lineRule="exact"/>
        <w:rPr>
          <w:sz w:val="20"/>
          <w:szCs w:val="20"/>
          <w:color w:val="auto"/>
        </w:rPr>
      </w:pPr>
    </w:p>
    <w:p>
      <w:pPr>
        <w:ind w:right="220" w:firstLine="951"/>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this Registration Statement on Form S-8 has been signed by the following persons in the capacities and on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120" w:type="dxa"/>
            <w:vAlign w:val="bottom"/>
          </w:tcPr>
          <w:p>
            <w:pPr>
              <w:spacing w:after="0"/>
              <w:rPr>
                <w:sz w:val="15"/>
                <w:szCs w:val="15"/>
                <w:color w:val="auto"/>
              </w:rPr>
            </w:pPr>
          </w:p>
        </w:tc>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r>
      <w:tr>
        <w:trPr>
          <w:trHeight w:val="291"/>
        </w:trPr>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Gavin MacBeath, Ph.D.</w:t>
            </w:r>
          </w:p>
        </w:tc>
        <w:tc>
          <w:tcPr>
            <w:tcW w:w="120" w:type="dxa"/>
            <w:vAlign w:val="bottom"/>
          </w:tcPr>
          <w:p>
            <w:pPr>
              <w:spacing w:after="0"/>
              <w:rPr>
                <w:sz w:val="24"/>
                <w:szCs w:val="24"/>
                <w:color w:val="auto"/>
              </w:rPr>
            </w:pPr>
          </w:p>
        </w:tc>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4, 2026</w:t>
            </w:r>
          </w:p>
        </w:tc>
      </w:tr>
      <w:tr>
        <w:trPr>
          <w:trHeight w:val="219"/>
        </w:trPr>
        <w:tc>
          <w:tcPr>
            <w:tcW w:w="4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Gavin MacBeath, Ph.D.</w:t>
            </w:r>
          </w:p>
        </w:tc>
        <w:tc>
          <w:tcPr>
            <w:tcW w:w="120" w:type="dxa"/>
            <w:vAlign w:val="bottom"/>
          </w:tcPr>
          <w:p>
            <w:pPr>
              <w:spacing w:after="0"/>
              <w:rPr>
                <w:sz w:val="19"/>
                <w:szCs w:val="19"/>
                <w:color w:val="auto"/>
              </w:rPr>
            </w:pPr>
          </w:p>
        </w:tc>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1140" w:type="dxa"/>
            <w:vAlign w:val="bottom"/>
          </w:tcPr>
          <w:p>
            <w:pPr>
              <w:spacing w:after="0"/>
              <w:rPr>
                <w:sz w:val="19"/>
                <w:szCs w:val="19"/>
                <w:color w:val="auto"/>
              </w:rPr>
            </w:pPr>
          </w:p>
        </w:tc>
      </w:tr>
      <w:tr>
        <w:trPr>
          <w:trHeight w:val="305"/>
        </w:trPr>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Jason A. Amello</w:t>
            </w:r>
          </w:p>
        </w:tc>
        <w:tc>
          <w:tcPr>
            <w:tcW w:w="120" w:type="dxa"/>
            <w:vAlign w:val="bottom"/>
          </w:tcPr>
          <w:p>
            <w:pPr>
              <w:spacing w:after="0"/>
              <w:rPr>
                <w:sz w:val="24"/>
                <w:szCs w:val="24"/>
                <w:color w:val="auto"/>
              </w:rPr>
            </w:pPr>
          </w:p>
        </w:tc>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Chief Financial Officer</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4, 2026</w:t>
            </w:r>
          </w:p>
        </w:tc>
      </w:tr>
      <w:tr>
        <w:trPr>
          <w:trHeight w:val="219"/>
        </w:trPr>
        <w:tc>
          <w:tcPr>
            <w:tcW w:w="4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Jason A. Amello</w:t>
            </w:r>
          </w:p>
        </w:tc>
        <w:tc>
          <w:tcPr>
            <w:tcW w:w="120" w:type="dxa"/>
            <w:vAlign w:val="bottom"/>
          </w:tcPr>
          <w:p>
            <w:pPr>
              <w:spacing w:after="0"/>
              <w:rPr>
                <w:sz w:val="19"/>
                <w:szCs w:val="19"/>
                <w:color w:val="auto"/>
              </w:rPr>
            </w:pPr>
          </w:p>
        </w:tc>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1140" w:type="dxa"/>
            <w:vAlign w:val="bottom"/>
          </w:tcPr>
          <w:p>
            <w:pPr>
              <w:spacing w:after="0"/>
              <w:rPr>
                <w:sz w:val="19"/>
                <w:szCs w:val="19"/>
                <w:color w:val="auto"/>
              </w:rPr>
            </w:pPr>
          </w:p>
        </w:tc>
      </w:tr>
      <w:tr>
        <w:trPr>
          <w:trHeight w:val="305"/>
        </w:trPr>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Leiden Dworak</w:t>
            </w:r>
          </w:p>
        </w:tc>
        <w:tc>
          <w:tcPr>
            <w:tcW w:w="120" w:type="dxa"/>
            <w:vAlign w:val="bottom"/>
          </w:tcPr>
          <w:p>
            <w:pPr>
              <w:spacing w:after="0"/>
              <w:rPr>
                <w:sz w:val="24"/>
                <w:szCs w:val="24"/>
                <w:color w:val="auto"/>
              </w:rPr>
            </w:pPr>
          </w:p>
        </w:tc>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Vice President, Finance</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4, 2026</w:t>
            </w:r>
          </w:p>
        </w:tc>
      </w:tr>
      <w:tr>
        <w:trPr>
          <w:trHeight w:val="219"/>
        </w:trPr>
        <w:tc>
          <w:tcPr>
            <w:tcW w:w="4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Leiden Dworak</w:t>
            </w:r>
          </w:p>
        </w:tc>
        <w:tc>
          <w:tcPr>
            <w:tcW w:w="120" w:type="dxa"/>
            <w:vAlign w:val="bottom"/>
          </w:tcPr>
          <w:p>
            <w:pPr>
              <w:spacing w:after="0"/>
              <w:rPr>
                <w:sz w:val="19"/>
                <w:szCs w:val="19"/>
                <w:color w:val="auto"/>
              </w:rPr>
            </w:pPr>
          </w:p>
        </w:tc>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1140" w:type="dxa"/>
            <w:vAlign w:val="bottom"/>
          </w:tcPr>
          <w:p>
            <w:pPr>
              <w:spacing w:after="0"/>
              <w:rPr>
                <w:sz w:val="19"/>
                <w:szCs w:val="19"/>
                <w:color w:val="auto"/>
              </w:rPr>
            </w:pPr>
          </w:p>
        </w:tc>
      </w:tr>
      <w:tr>
        <w:trPr>
          <w:trHeight w:val="305"/>
        </w:trPr>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Stephen Biggar</w:t>
            </w:r>
          </w:p>
        </w:tc>
        <w:tc>
          <w:tcPr>
            <w:tcW w:w="120" w:type="dxa"/>
            <w:vAlign w:val="bottom"/>
          </w:tcPr>
          <w:p>
            <w:pPr>
              <w:spacing w:after="0"/>
              <w:rPr>
                <w:sz w:val="24"/>
                <w:szCs w:val="24"/>
                <w:color w:val="auto"/>
              </w:rPr>
            </w:pPr>
          </w:p>
        </w:tc>
        <w:tc>
          <w:tcPr>
            <w:tcW w:w="45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Director</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4, 2026</w:t>
            </w:r>
          </w:p>
        </w:tc>
      </w:tr>
      <w:tr>
        <w:trPr>
          <w:trHeight w:val="219"/>
        </w:trPr>
        <w:tc>
          <w:tcPr>
            <w:tcW w:w="4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Stephen Biggar, M.D., Ph.D.</w:t>
            </w:r>
          </w:p>
        </w:tc>
        <w:tc>
          <w:tcPr>
            <w:tcW w:w="1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05"/>
        </w:trPr>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Barbara Klencke, M.D.</w:t>
            </w:r>
          </w:p>
        </w:tc>
        <w:tc>
          <w:tcPr>
            <w:tcW w:w="120" w:type="dxa"/>
            <w:vAlign w:val="bottom"/>
          </w:tcPr>
          <w:p>
            <w:pPr>
              <w:spacing w:after="0"/>
              <w:rPr>
                <w:sz w:val="24"/>
                <w:szCs w:val="24"/>
                <w:color w:val="auto"/>
              </w:rPr>
            </w:pPr>
          </w:p>
        </w:tc>
        <w:tc>
          <w:tcPr>
            <w:tcW w:w="45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Director</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4, 2026</w:t>
            </w:r>
          </w:p>
        </w:tc>
      </w:tr>
      <w:tr>
        <w:trPr>
          <w:trHeight w:val="219"/>
        </w:trPr>
        <w:tc>
          <w:tcPr>
            <w:tcW w:w="4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Barbara Klencke, M.D.</w:t>
            </w:r>
          </w:p>
        </w:tc>
        <w:tc>
          <w:tcPr>
            <w:tcW w:w="1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05"/>
        </w:trPr>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Garry Nicholson</w:t>
            </w:r>
          </w:p>
        </w:tc>
        <w:tc>
          <w:tcPr>
            <w:tcW w:w="120" w:type="dxa"/>
            <w:vAlign w:val="bottom"/>
          </w:tcPr>
          <w:p>
            <w:pPr>
              <w:spacing w:after="0"/>
              <w:rPr>
                <w:sz w:val="24"/>
                <w:szCs w:val="24"/>
                <w:color w:val="auto"/>
              </w:rPr>
            </w:pPr>
          </w:p>
        </w:tc>
        <w:tc>
          <w:tcPr>
            <w:tcW w:w="45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Director</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4, 2026</w:t>
            </w:r>
          </w:p>
        </w:tc>
      </w:tr>
      <w:tr>
        <w:trPr>
          <w:trHeight w:val="219"/>
        </w:trPr>
        <w:tc>
          <w:tcPr>
            <w:tcW w:w="4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Garry Nicholson</w:t>
            </w:r>
          </w:p>
        </w:tc>
        <w:tc>
          <w:tcPr>
            <w:tcW w:w="1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05"/>
        </w:trPr>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Gabriela Gruia</w:t>
            </w:r>
          </w:p>
        </w:tc>
        <w:tc>
          <w:tcPr>
            <w:tcW w:w="120" w:type="dxa"/>
            <w:vAlign w:val="bottom"/>
          </w:tcPr>
          <w:p>
            <w:pPr>
              <w:spacing w:after="0"/>
              <w:rPr>
                <w:sz w:val="24"/>
                <w:szCs w:val="24"/>
                <w:color w:val="auto"/>
              </w:rPr>
            </w:pPr>
          </w:p>
        </w:tc>
        <w:tc>
          <w:tcPr>
            <w:tcW w:w="45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Director</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4, 2026</w:t>
            </w:r>
          </w:p>
        </w:tc>
      </w:tr>
      <w:tr>
        <w:trPr>
          <w:trHeight w:val="219"/>
        </w:trPr>
        <w:tc>
          <w:tcPr>
            <w:tcW w:w="4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Gabriela Gruia, M.D.</w:t>
            </w:r>
          </w:p>
        </w:tc>
        <w:tc>
          <w:tcPr>
            <w:tcW w:w="1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05"/>
        </w:trPr>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Katina Dorton</w:t>
            </w:r>
          </w:p>
        </w:tc>
        <w:tc>
          <w:tcPr>
            <w:tcW w:w="120" w:type="dxa"/>
            <w:vAlign w:val="bottom"/>
          </w:tcPr>
          <w:p>
            <w:pPr>
              <w:spacing w:after="0"/>
              <w:rPr>
                <w:sz w:val="24"/>
                <w:szCs w:val="24"/>
                <w:color w:val="auto"/>
              </w:rPr>
            </w:pPr>
          </w:p>
        </w:tc>
        <w:tc>
          <w:tcPr>
            <w:tcW w:w="45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Director</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4, 2026</w:t>
            </w:r>
          </w:p>
        </w:tc>
      </w:tr>
      <w:tr>
        <w:trPr>
          <w:trHeight w:val="219"/>
        </w:trPr>
        <w:tc>
          <w:tcPr>
            <w:tcW w:w="4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Katina Dorton, J.D., M.B.A.</w:t>
            </w:r>
          </w:p>
        </w:tc>
        <w:tc>
          <w:tcPr>
            <w:tcW w:w="1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05"/>
        </w:trPr>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R. Keith Woods</w:t>
            </w:r>
          </w:p>
        </w:tc>
        <w:tc>
          <w:tcPr>
            <w:tcW w:w="120" w:type="dxa"/>
            <w:vAlign w:val="bottom"/>
          </w:tcPr>
          <w:p>
            <w:pPr>
              <w:spacing w:after="0"/>
              <w:rPr>
                <w:sz w:val="24"/>
                <w:szCs w:val="24"/>
                <w:color w:val="auto"/>
              </w:rPr>
            </w:pPr>
          </w:p>
        </w:tc>
        <w:tc>
          <w:tcPr>
            <w:tcW w:w="45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Director</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4, 2026</w:t>
            </w:r>
          </w:p>
        </w:tc>
      </w:tr>
      <w:tr>
        <w:trPr>
          <w:trHeight w:val="219"/>
        </w:trPr>
        <w:tc>
          <w:tcPr>
            <w:tcW w:w="4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R. Keith Woods</w:t>
            </w:r>
          </w:p>
        </w:tc>
        <w:tc>
          <w:tcPr>
            <w:tcW w:w="1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bl>
    <w:p>
      <w:pPr>
        <w:sectPr>
          <w:pgSz w:w="11900" w:h="16838" w:orient="portrait"/>
          <w:cols w:equalWidth="0" w:num="1">
            <w:col w:w="10560"/>
          </w:cols>
          <w:pgMar w:left="660" w:top="262" w:right="679" w:bottom="1440" w:gutter="0" w:footer="0" w:header="0"/>
        </w:sectPr>
      </w:pPr>
    </w:p>
    <w:bookmarkStart w:id="4" w:name="page5"/>
    <w:bookmarkEnd w:id="4"/>
    <w:p>
      <w:pPr>
        <w:ind w:left="976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47"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7"/>
          <w:szCs w:val="17"/>
          <w:color w:val="auto"/>
        </w:rPr>
        <w:t xml:space="preserve">Goodwin Procter </w:t>
      </w:r>
      <w:r>
        <w:rPr>
          <w:rFonts w:ascii="Times New Roman" w:cs="Times New Roman" w:eastAsia="Times New Roman" w:hAnsi="Times New Roman"/>
          <w:sz w:val="14"/>
          <w:szCs w:val="14"/>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1644650" cy="370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644650" cy="370205"/>
                    </a:xfrm>
                    <a:prstGeom prst="rect">
                      <a:avLst/>
                    </a:prstGeom>
                    <a:noFill/>
                  </pic:spPr>
                </pic:pic>
              </a:graphicData>
            </a:graphic>
          </wp:anchor>
        </w:drawing>
      </w:r>
    </w:p>
    <w:p>
      <w:pPr>
        <w:spacing w:after="0" w:line="10"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7"/>
          <w:szCs w:val="17"/>
          <w:color w:val="auto"/>
        </w:rPr>
        <w:t>100 Northern Avenue</w:t>
      </w:r>
    </w:p>
    <w:p>
      <w:pPr>
        <w:spacing w:after="0" w:line="12"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7"/>
          <w:szCs w:val="17"/>
          <w:color w:val="auto"/>
        </w:rPr>
        <w:t>Boston, MA 02210</w:t>
      </w:r>
    </w:p>
    <w:p>
      <w:pPr>
        <w:spacing w:after="0" w:line="226"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7"/>
          <w:szCs w:val="17"/>
          <w:color w:val="auto"/>
        </w:rPr>
        <w:t>goodwinlaw.com</w:t>
      </w:r>
    </w:p>
    <w:p>
      <w:pPr>
        <w:spacing w:after="0" w:line="30"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7"/>
          <w:szCs w:val="17"/>
          <w:color w:val="auto"/>
        </w:rPr>
        <w:t>+1 617 570 1000</w:t>
      </w: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March 4,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TScan Therapeutics,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830 Winter Street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Waltham, Massachusetts 02451</w:t>
      </w:r>
    </w:p>
    <w:p>
      <w:pPr>
        <w:spacing w:after="0" w:line="22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Re:</w:t>
      </w:r>
      <w:r>
        <w:rPr>
          <w:sz w:val="20"/>
          <w:szCs w:val="20"/>
          <w:color w:val="auto"/>
        </w:rPr>
        <w:tab/>
      </w:r>
      <w:r>
        <w:rPr>
          <w:rFonts w:ascii="Times New Roman" w:cs="Times New Roman" w:eastAsia="Times New Roman" w:hAnsi="Times New Roman"/>
          <w:sz w:val="17"/>
          <w:szCs w:val="17"/>
          <w:u w:val="single" w:color="auto"/>
          <w:color w:val="auto"/>
        </w:rPr>
        <w:t>Securities Being Registered under Registration Statement on Form S-8</w:t>
      </w:r>
    </w:p>
    <w:p>
      <w:pPr>
        <w:spacing w:after="0" w:line="21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7"/>
          <w:szCs w:val="17"/>
          <w:color w:val="auto"/>
        </w:rPr>
        <w:t>We have acted as your counsel in connection with your filing of a Registration Statement on Form S-8 (the “Registration Statement”) pursuant to the Securities Act of 1933, as amended (the “Securities Act”), on or about the date hereof relating to an aggregate of (i) 5,196,535 additional shares (the “Plan Shares”) of Common Stock, $0.0001 par value per share (“Common Stock”), of TScan Therapeutics, Inc., a Delaware corporation (the “Company”), that may be issued pursuant to the Company’s Amended and Restated 2021 Equity Incentive Plan (the “2021 Plan”) and (ii) 569,016 additional shares (collectively with the Plan Shares, the “Shares”) of Common Stock that may be issued pursuant to the Company’s 2021 Employee Stock Purchase Plan (collectively with the 2021 Plan, the “Plans”).</w:t>
      </w:r>
    </w:p>
    <w:p>
      <w:pPr>
        <w:spacing w:after="0" w:line="175"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62"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For purposes of the opinion set forth below, we have assumed that, at the time Shares are issued, the total number of then unissued Shares, when added to the number of shares of Common Stock issued, subscribed for, or otherwise committed to be issued, does not exceed the number of shares of Common Stock authorized by the Company’s certificate of incorporation.</w:t>
      </w:r>
    </w:p>
    <w:p>
      <w:pPr>
        <w:spacing w:after="0" w:line="162"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17"/>
          <w:szCs w:val="17"/>
          <w:color w:val="auto"/>
        </w:rPr>
        <w:t>The opinion set forth below is limited to the Delaware General Corporation Law. Based on the foregoing, we are of the opinion that the Shares have been duly authorized and, when delivered against payment therefor in accordance with the terms of the Plans, will be validly issued, fully paid and nonassessable.</w:t>
      </w:r>
    </w:p>
    <w:p>
      <w:pPr>
        <w:spacing w:after="0" w:line="160"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7"/>
          <w:szCs w:val="17"/>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7"/>
          <w:szCs w:val="17"/>
          <w:i w:val="1"/>
          <w:iCs w:val="1"/>
          <w:color w:val="auto"/>
        </w:rPr>
        <w:t>Business Lawyer</w:t>
      </w:r>
      <w:r>
        <w:rPr>
          <w:rFonts w:ascii="Times New Roman" w:cs="Times New Roman" w:eastAsia="Times New Roman" w:hAnsi="Times New Roman"/>
          <w:sz w:val="17"/>
          <w:szCs w:val="17"/>
          <w:color w:val="auto"/>
        </w:rPr>
        <w:t xml:space="preserve"> 815 (Summer 2019).</w:t>
      </w:r>
    </w:p>
    <w:p>
      <w:pPr>
        <w:spacing w:after="0" w:line="145"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7"/>
          <w:szCs w:val="17"/>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ectPr>
          <w:pgSz w:w="11900" w:h="16838" w:orient="portrait"/>
          <w:cols w:equalWidth="0" w:num="1">
            <w:col w:w="10560"/>
          </w:cols>
          <w:pgMar w:left="660" w:top="119" w:right="6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TScan Therapeutics,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4, 2026</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2</w:t>
      </w:r>
    </w:p>
    <w:p>
      <w:pPr>
        <w:spacing w:after="0" w:line="13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1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/s/ 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4029710</wp:posOffset>
            </wp:positionH>
            <wp:positionV relativeFrom="paragraph">
              <wp:posOffset>19050</wp:posOffset>
            </wp:positionV>
            <wp:extent cx="26809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pacing w:after="0" w:line="18"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GOODWIN PROCTER LLP</w:t>
      </w:r>
    </w:p>
    <w:p>
      <w:pPr>
        <w:sectPr>
          <w:pgSz w:w="11900" w:h="16838" w:orient="portrait"/>
          <w:cols w:equalWidth="0" w:num="1">
            <w:col w:w="9799"/>
          </w:cols>
          <w:pgMar w:left="660" w:top="264"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1" w:lineRule="exact"/>
        <w:rPr>
          <w:sz w:val="20"/>
          <w:szCs w:val="20"/>
          <w:color w:val="auto"/>
        </w:rPr>
      </w:pPr>
    </w:p>
    <w:p>
      <w:pPr>
        <w:jc w:val="both"/>
        <w:ind w:right="360"/>
        <w:spacing w:after="0" w:line="273" w:lineRule="auto"/>
        <w:rPr>
          <w:sz w:val="20"/>
          <w:szCs w:val="20"/>
          <w:color w:val="auto"/>
        </w:rPr>
      </w:pPr>
      <w:r>
        <w:rPr>
          <w:rFonts w:ascii="Times New Roman" w:cs="Times New Roman" w:eastAsia="Times New Roman" w:hAnsi="Times New Roman"/>
          <w:sz w:val="17"/>
          <w:szCs w:val="17"/>
          <w:color w:val="auto"/>
        </w:rPr>
        <w:t>We consent to the incorporation by reference in this Registration Statement on Form S-8 of our report dated March 4, 2026, relating to the financial statements of TScan Therapeutics, Inc. appearing in the Annual Report on Form 10-K of TScan Therapeutics, Inc. for the year ended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Massachusetts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4, 2026</w:t>
      </w:r>
    </w:p>
    <w:p>
      <w:pPr>
        <w:sectPr>
          <w:pgSz w:w="11900" w:h="16838" w:orient="portrait"/>
          <w:cols w:equalWidth="0" w:num="1">
            <w:col w:w="10560"/>
          </w:cols>
          <w:pgMar w:left="660" w:top="119" w:right="679" w:bottom="1440" w:gutter="0" w:footer="0" w:header="0"/>
        </w:sectPr>
      </w:pPr>
    </w:p>
    <w:bookmarkStart w:id="7" w:name="page8"/>
    <w:bookmarkEnd w:id="7"/>
    <w:p>
      <w:pPr>
        <w:spacing w:after="0" w:line="62" w:lineRule="exact"/>
        <w:rPr>
          <w:sz w:val="20"/>
          <w:szCs w:val="20"/>
          <w:color w:val="auto"/>
        </w:rPr>
      </w:pPr>
    </w:p>
    <w:p>
      <w:pPr>
        <w:ind w:left="2980"/>
        <w:spacing w:after="0"/>
        <w:rPr>
          <w:sz w:val="20"/>
          <w:szCs w:val="20"/>
          <w:color w:val="auto"/>
        </w:rPr>
      </w:pPr>
      <w:r>
        <w:rPr>
          <w:rFonts w:ascii="Arial" w:cs="Arial" w:eastAsia="Arial" w:hAnsi="Arial"/>
          <w:sz w:val="35"/>
          <w:szCs w:val="35"/>
          <w:b w:val="1"/>
          <w:bCs w:val="1"/>
          <w:color w:val="auto"/>
        </w:rPr>
        <w:t>Calculation of Filing Fee Tables</w:t>
      </w:r>
    </w:p>
    <w:p>
      <w:pPr>
        <w:spacing w:after="0" w:line="206" w:lineRule="exact"/>
        <w:rPr>
          <w:sz w:val="20"/>
          <w:szCs w:val="20"/>
          <w:color w:val="auto"/>
        </w:rPr>
      </w:pPr>
    </w:p>
    <w:p>
      <w:pPr>
        <w:ind w:left="5280"/>
        <w:spacing w:after="0"/>
        <w:rPr>
          <w:sz w:val="20"/>
          <w:szCs w:val="20"/>
          <w:color w:val="auto"/>
        </w:rPr>
      </w:pPr>
      <w:r>
        <w:rPr>
          <w:rFonts w:ascii="Arial" w:cs="Arial" w:eastAsia="Arial" w:hAnsi="Arial"/>
          <w:sz w:val="35"/>
          <w:szCs w:val="35"/>
          <w:b w:val="1"/>
          <w:bCs w:val="1"/>
          <w:color w:val="auto"/>
        </w:rPr>
        <w:t>S-8</w:t>
      </w:r>
    </w:p>
    <w:p>
      <w:pPr>
        <w:spacing w:after="0" w:line="116" w:lineRule="exact"/>
        <w:rPr>
          <w:sz w:val="20"/>
          <w:szCs w:val="20"/>
          <w:color w:val="auto"/>
        </w:rPr>
      </w:pPr>
    </w:p>
    <w:p>
      <w:pPr>
        <w:jc w:val="center"/>
        <w:ind w:right="240"/>
        <w:spacing w:after="0"/>
        <w:rPr>
          <w:sz w:val="20"/>
          <w:szCs w:val="20"/>
          <w:color w:val="auto"/>
        </w:rPr>
      </w:pPr>
      <w:r>
        <w:rPr>
          <w:rFonts w:ascii="Arial" w:cs="Arial" w:eastAsia="Arial" w:hAnsi="Arial"/>
          <w:sz w:val="35"/>
          <w:szCs w:val="35"/>
          <w:b w:val="1"/>
          <w:bCs w:val="1"/>
          <w:color w:val="auto"/>
        </w:rPr>
        <w:t>TScan Therapeutics, Inc.</w:t>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Table 1: Newly Registered Securities</w:t>
      </w:r>
    </w:p>
    <w:p>
      <w:pPr>
        <w:spacing w:after="0" w:line="42" w:lineRule="exact"/>
        <w:rPr>
          <w:sz w:val="20"/>
          <w:szCs w:val="20"/>
          <w:color w:val="auto"/>
        </w:rPr>
      </w:pPr>
    </w:p>
    <w:tbl>
      <w:tblPr>
        <w:tblLayout w:type="fixed"/>
        <w:tblInd w:w="570" w:type="dxa"/>
        <w:tblCellMar>
          <w:top w:w="0" w:type="dxa"/>
          <w:left w:w="0" w:type="dxa"/>
          <w:bottom w:w="0" w:type="dxa"/>
          <w:right w:w="0" w:type="dxa"/>
        </w:tblCellMar>
      </w:tblPr>
      <w:tr>
        <w:trPr>
          <w:trHeight w:val="40"/>
        </w:trPr>
        <w:tc>
          <w:tcPr>
            <w:tcW w:w="6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18"/>
                <w:szCs w:val="18"/>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18"/>
                <w:szCs w:val="18"/>
                <w:color w:val="auto"/>
              </w:rPr>
            </w:pPr>
          </w:p>
        </w:tc>
        <w:tc>
          <w:tcPr>
            <w:tcW w:w="11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shd w:val="clear" w:color="auto" w:fill="9ADAF6"/>
          </w:tcPr>
          <w:p>
            <w:pPr>
              <w:jc w:val="center"/>
              <w:spacing w:after="0" w:line="214" w:lineRule="exact"/>
              <w:rPr>
                <w:sz w:val="20"/>
                <w:szCs w:val="20"/>
                <w:color w:val="auto"/>
              </w:rPr>
            </w:pPr>
            <w:r>
              <w:rPr>
                <w:rFonts w:ascii="Arial" w:cs="Arial" w:eastAsia="Arial" w:hAnsi="Arial"/>
                <w:sz w:val="21"/>
                <w:szCs w:val="21"/>
                <w:b w:val="1"/>
                <w:bCs w:val="1"/>
                <w:color w:val="auto"/>
                <w:w w:val="99"/>
              </w:rPr>
              <w:t>Proposed</w:t>
            </w:r>
          </w:p>
        </w:tc>
        <w:tc>
          <w:tcPr>
            <w:tcW w:w="40" w:type="dxa"/>
            <w:vAlign w:val="bottom"/>
          </w:tcPr>
          <w:p>
            <w:pPr>
              <w:spacing w:after="0"/>
              <w:rPr>
                <w:sz w:val="18"/>
                <w:szCs w:val="18"/>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Maximum</w:t>
            </w: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Amount of</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18"/>
                <w:szCs w:val="18"/>
                <w:color w:val="auto"/>
              </w:rPr>
            </w:pPr>
          </w:p>
        </w:tc>
        <w:tc>
          <w:tcPr>
            <w:tcW w:w="9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shd w:val="clear" w:color="auto" w:fill="9ADAF6"/>
          </w:tcPr>
          <w:p>
            <w:pPr>
              <w:jc w:val="right"/>
              <w:ind w:right="56"/>
              <w:spacing w:after="0" w:line="208" w:lineRule="exact"/>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18"/>
                <w:szCs w:val="18"/>
                <w:color w:val="auto"/>
              </w:rPr>
            </w:pPr>
          </w:p>
        </w:tc>
        <w:tc>
          <w:tcPr>
            <w:tcW w:w="140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Maximum</w:t>
            </w:r>
          </w:p>
        </w:tc>
        <w:tc>
          <w:tcPr>
            <w:tcW w:w="40" w:type="dxa"/>
            <w:vAlign w:val="bottom"/>
          </w:tcPr>
          <w:p>
            <w:pPr>
              <w:spacing w:after="0"/>
              <w:rPr>
                <w:sz w:val="18"/>
                <w:szCs w:val="18"/>
                <w:color w:val="auto"/>
              </w:rPr>
            </w:pPr>
          </w:p>
        </w:tc>
        <w:tc>
          <w:tcPr>
            <w:tcW w:w="152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continue"/>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Class</w:t>
            </w: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Calculation</w:t>
            </w:r>
          </w:p>
        </w:tc>
        <w:tc>
          <w:tcPr>
            <w:tcW w:w="20" w:type="dxa"/>
            <w:vAlign w:val="bottom"/>
          </w:tcPr>
          <w:p>
            <w:pPr>
              <w:spacing w:after="0"/>
              <w:rPr>
                <w:sz w:val="20"/>
                <w:szCs w:val="20"/>
                <w:color w:val="auto"/>
              </w:rPr>
            </w:pPr>
          </w:p>
        </w:tc>
        <w:tc>
          <w:tcPr>
            <w:tcW w:w="110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Registered</w:t>
            </w:r>
          </w:p>
        </w:tc>
        <w:tc>
          <w:tcPr>
            <w:tcW w:w="40" w:type="dxa"/>
            <w:vAlign w:val="bottom"/>
          </w:tcPr>
          <w:p>
            <w:pPr>
              <w:spacing w:after="0"/>
              <w:rPr>
                <w:sz w:val="20"/>
                <w:szCs w:val="20"/>
                <w:color w:val="auto"/>
              </w:rPr>
            </w:pPr>
          </w:p>
        </w:tc>
        <w:tc>
          <w:tcPr>
            <w:tcW w:w="14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Offering Price</w:t>
            </w:r>
          </w:p>
        </w:tc>
        <w:tc>
          <w:tcPr>
            <w:tcW w:w="4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10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Fee Rate</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Registration</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Title</w:t>
            </w: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Rule</w:t>
            </w:r>
          </w:p>
        </w:tc>
        <w:tc>
          <w:tcPr>
            <w:tcW w:w="20" w:type="dxa"/>
            <w:vAlign w:val="bottom"/>
          </w:tcPr>
          <w:p>
            <w:pPr>
              <w:spacing w:after="0"/>
              <w:rPr>
                <w:sz w:val="20"/>
                <w:szCs w:val="20"/>
                <w:color w:val="auto"/>
              </w:rPr>
            </w:pPr>
          </w:p>
        </w:tc>
        <w:tc>
          <w:tcPr>
            <w:tcW w:w="11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6"/>
              </w:rPr>
              <w:t>Per Unit</w:t>
            </w:r>
          </w:p>
        </w:tc>
        <w:tc>
          <w:tcPr>
            <w:tcW w:w="4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Offering Price</w:t>
            </w:r>
          </w:p>
        </w:tc>
        <w:tc>
          <w:tcPr>
            <w:tcW w:w="20" w:type="dxa"/>
            <w:vAlign w:val="bottom"/>
          </w:tcPr>
          <w:p>
            <w:pPr>
              <w:spacing w:after="0"/>
              <w:rPr>
                <w:sz w:val="20"/>
                <w:szCs w:val="20"/>
                <w:color w:val="auto"/>
              </w:rPr>
            </w:pPr>
          </w:p>
        </w:tc>
        <w:tc>
          <w:tcPr>
            <w:tcW w:w="10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60" w:type="dxa"/>
            <w:vAlign w:val="bottom"/>
            <w:tcBorders>
              <w:left w:val="single" w:sz="8" w:color="auto"/>
            </w:tcBorders>
          </w:tcPr>
          <w:p>
            <w:pPr>
              <w:spacing w:after="0"/>
              <w:rPr>
                <w:sz w:val="5"/>
                <w:szCs w:val="5"/>
                <w:color w:val="auto"/>
              </w:rPr>
            </w:pPr>
          </w:p>
        </w:tc>
        <w:tc>
          <w:tcPr>
            <w:tcW w:w="1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vMerge w:val="continue"/>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5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shd w:val="clear" w:color="auto" w:fill="9ADAF6"/>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$0.0001</w:t>
            </w:r>
          </w:p>
        </w:tc>
        <w:tc>
          <w:tcPr>
            <w:tcW w:w="20" w:type="dxa"/>
            <w:vAlign w:val="bottom"/>
          </w:tcPr>
          <w:p>
            <w:pPr>
              <w:spacing w:after="0"/>
              <w:rPr>
                <w:sz w:val="20"/>
                <w:szCs w:val="20"/>
                <w:color w:val="auto"/>
              </w:rPr>
            </w:pPr>
          </w:p>
        </w:tc>
        <w:tc>
          <w:tcPr>
            <w:tcW w:w="116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20"/>
                <w:szCs w:val="20"/>
                <w:color w:val="auto"/>
              </w:rPr>
            </w:pPr>
          </w:p>
        </w:tc>
        <w:tc>
          <w:tcPr>
            <w:tcW w:w="11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5,196,535</w:t>
            </w:r>
          </w:p>
        </w:tc>
        <w:tc>
          <w:tcPr>
            <w:tcW w:w="40" w:type="dxa"/>
            <w:vAlign w:val="bottom"/>
          </w:tcPr>
          <w:p>
            <w:pPr>
              <w:spacing w:after="0"/>
              <w:rPr>
                <w:sz w:val="20"/>
                <w:szCs w:val="20"/>
                <w:color w:val="auto"/>
              </w:rPr>
            </w:pPr>
          </w:p>
        </w:tc>
        <w:tc>
          <w:tcPr>
            <w:tcW w:w="14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$ 1.09</w:t>
            </w:r>
          </w:p>
        </w:tc>
        <w:tc>
          <w:tcPr>
            <w:tcW w:w="40" w:type="dxa"/>
            <w:vAlign w:val="bottom"/>
          </w:tcPr>
          <w:p>
            <w:pPr>
              <w:spacing w:after="0"/>
              <w:rPr>
                <w:sz w:val="20"/>
                <w:szCs w:val="20"/>
                <w:color w:val="auto"/>
              </w:rPr>
            </w:pPr>
          </w:p>
        </w:tc>
        <w:tc>
          <w:tcPr>
            <w:tcW w:w="152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$ 5,664,223.15</w:t>
            </w:r>
          </w:p>
        </w:tc>
        <w:tc>
          <w:tcPr>
            <w:tcW w:w="20" w:type="dxa"/>
            <w:vAlign w:val="bottom"/>
          </w:tcPr>
          <w:p>
            <w:pPr>
              <w:spacing w:after="0"/>
              <w:rPr>
                <w:sz w:val="20"/>
                <w:szCs w:val="20"/>
                <w:color w:val="auto"/>
              </w:rPr>
            </w:pPr>
          </w:p>
        </w:tc>
        <w:tc>
          <w:tcPr>
            <w:tcW w:w="10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0.0001381</w:t>
            </w:r>
          </w:p>
        </w:tc>
        <w:tc>
          <w:tcPr>
            <w:tcW w:w="20" w:type="dxa"/>
            <w:vAlign w:val="bottom"/>
          </w:tcPr>
          <w:p>
            <w:pPr>
              <w:spacing w:after="0"/>
              <w:rPr>
                <w:sz w:val="20"/>
                <w:szCs w:val="20"/>
                <w:color w:val="auto"/>
              </w:rPr>
            </w:pPr>
          </w:p>
        </w:tc>
        <w:tc>
          <w:tcPr>
            <w:tcW w:w="152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$ 782.23</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3"/>
                <w:szCs w:val="23"/>
                <w:color w:val="auto"/>
              </w:rPr>
            </w:pPr>
          </w:p>
        </w:tc>
        <w:tc>
          <w:tcPr>
            <w:tcW w:w="1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2</w:t>
            </w:r>
          </w:p>
        </w:tc>
        <w:tc>
          <w:tcPr>
            <w:tcW w:w="2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$0.0001</w:t>
            </w:r>
          </w:p>
        </w:tc>
        <w:tc>
          <w:tcPr>
            <w:tcW w:w="20" w:type="dxa"/>
            <w:vAlign w:val="bottom"/>
          </w:tcPr>
          <w:p>
            <w:pPr>
              <w:spacing w:after="0"/>
              <w:rPr>
                <w:sz w:val="20"/>
                <w:szCs w:val="20"/>
                <w:color w:val="auto"/>
              </w:rPr>
            </w:pPr>
          </w:p>
        </w:tc>
        <w:tc>
          <w:tcPr>
            <w:tcW w:w="116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20"/>
                <w:szCs w:val="20"/>
                <w:color w:val="auto"/>
              </w:rPr>
            </w:pPr>
          </w:p>
        </w:tc>
        <w:tc>
          <w:tcPr>
            <w:tcW w:w="11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569,016</w:t>
            </w:r>
          </w:p>
        </w:tc>
        <w:tc>
          <w:tcPr>
            <w:tcW w:w="40" w:type="dxa"/>
            <w:vAlign w:val="bottom"/>
          </w:tcPr>
          <w:p>
            <w:pPr>
              <w:spacing w:after="0"/>
              <w:rPr>
                <w:sz w:val="20"/>
                <w:szCs w:val="20"/>
                <w:color w:val="auto"/>
              </w:rPr>
            </w:pPr>
          </w:p>
        </w:tc>
        <w:tc>
          <w:tcPr>
            <w:tcW w:w="14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$ 0.92</w:t>
            </w:r>
          </w:p>
        </w:tc>
        <w:tc>
          <w:tcPr>
            <w:tcW w:w="40" w:type="dxa"/>
            <w:vAlign w:val="bottom"/>
          </w:tcPr>
          <w:p>
            <w:pPr>
              <w:spacing w:after="0"/>
              <w:rPr>
                <w:sz w:val="20"/>
                <w:szCs w:val="20"/>
                <w:color w:val="auto"/>
              </w:rPr>
            </w:pPr>
          </w:p>
        </w:tc>
        <w:tc>
          <w:tcPr>
            <w:tcW w:w="152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$ 523,494.72</w:t>
            </w:r>
          </w:p>
        </w:tc>
        <w:tc>
          <w:tcPr>
            <w:tcW w:w="20" w:type="dxa"/>
            <w:vAlign w:val="bottom"/>
          </w:tcPr>
          <w:p>
            <w:pPr>
              <w:spacing w:after="0"/>
              <w:rPr>
                <w:sz w:val="20"/>
                <w:szCs w:val="20"/>
                <w:color w:val="auto"/>
              </w:rPr>
            </w:pPr>
          </w:p>
        </w:tc>
        <w:tc>
          <w:tcPr>
            <w:tcW w:w="10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0.0001381</w:t>
            </w:r>
          </w:p>
        </w:tc>
        <w:tc>
          <w:tcPr>
            <w:tcW w:w="20" w:type="dxa"/>
            <w:vAlign w:val="bottom"/>
          </w:tcPr>
          <w:p>
            <w:pPr>
              <w:spacing w:after="0"/>
              <w:rPr>
                <w:sz w:val="20"/>
                <w:szCs w:val="20"/>
                <w:color w:val="auto"/>
              </w:rPr>
            </w:pPr>
          </w:p>
        </w:tc>
        <w:tc>
          <w:tcPr>
            <w:tcW w:w="152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$ 72.29</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3"/>
                <w:szCs w:val="23"/>
                <w:color w:val="auto"/>
              </w:rPr>
            </w:pPr>
          </w:p>
        </w:tc>
        <w:tc>
          <w:tcPr>
            <w:tcW w:w="1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1"/>
                <w:szCs w:val="21"/>
                <w:color w:val="auto"/>
              </w:rPr>
              <w:t>$ 6,187,717.87</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$ 854.52</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$ 854.52</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600"/>
        <w:spacing w:after="0"/>
        <w:rPr>
          <w:sz w:val="20"/>
          <w:szCs w:val="20"/>
          <w:color w:val="auto"/>
        </w:rPr>
      </w:pPr>
      <w:r>
        <w:rPr>
          <w:rFonts w:ascii="Arial" w:cs="Arial" w:eastAsia="Arial" w:hAnsi="Arial"/>
          <w:sz w:val="21"/>
          <w:szCs w:val="21"/>
          <w:b w:val="1"/>
          <w:bCs w:val="1"/>
          <w:color w:val="auto"/>
        </w:rPr>
        <w:t>Offering Note</w:t>
      </w:r>
    </w:p>
    <w:p>
      <w:pPr>
        <w:spacing w:after="0" w:line="134" w:lineRule="exact"/>
        <w:rPr>
          <w:sz w:val="20"/>
          <w:szCs w:val="20"/>
          <w:color w:val="auto"/>
        </w:rPr>
      </w:pPr>
    </w:p>
    <w:p>
      <w:pPr>
        <w:ind w:left="820" w:right="780" w:hanging="214"/>
        <w:spacing w:after="0" w:line="242" w:lineRule="auto"/>
        <w:tabs>
          <w:tab w:leader="none" w:pos="820" w:val="left"/>
        </w:tabs>
        <w:numPr>
          <w:ilvl w:val="0"/>
          <w:numId w:val="2"/>
        </w:numPr>
        <w:rPr>
          <w:rFonts w:ascii="Arial" w:cs="Arial" w:eastAsia="Arial" w:hAnsi="Arial"/>
          <w:sz w:val="25"/>
          <w:szCs w:val="25"/>
          <w:color w:val="auto"/>
          <w:vertAlign w:val="superscript"/>
        </w:rPr>
      </w:pPr>
      <w:r>
        <w:rPr>
          <w:rFonts w:ascii="Arial" w:cs="Arial" w:eastAsia="Arial" w:hAnsi="Arial"/>
          <w:sz w:val="20"/>
          <w:szCs w:val="20"/>
          <w:color w:val="auto"/>
        </w:rPr>
        <w:t>Pursuant to Rule 416 under the Securities Act of 1933, as amended (the "Securities Act"), this registration statement shall also cover any additional shares of common stock, $0.0001 par value per share (the "Common Stock"), of TScan Therapeutics, Inc. (the "Registrant") which become issuable under the TScan Therapeutics, Inc. Amended and Restated 2021 Equity Incentive Plan (the "2021 Plan") by reason of any stock dividend, stock split, recapitalization or any other similar transaction effected without the receipt of consideration which results in an increase in the number of the Registrant's outstanding shares of Common Stock. The proposed maximum offering price per share of $1.09 per share, which is the average of the high and low sale prices of the Registrant's Common Stock on the Nasdaq Global Market on February 27, 2026, is set forth solely for the purpose of calculating the registration fee pursuant to Rules 457(c) and (h) of the Securities Act. The amount registered represents an automatic increase of 5,196,535 shares of Common Stock to the number of shares available for issuance under the 2021 Plan, effective January 1, 2026. Shares available for issuance under the 2021 Plan were previously registered on registration statements on Form S-8 filed with the Securities and Exchange Commission on July 16, 2021 (Registration No. 333-257941), March 9, 2022 (Registration No. 333-263380), March 8, 2023 (Registration No. 333-270343), June 16, 2023 (Registration No. 333-272733), March 6, 2024 (Registration No. 333-277695), June 14, 2024 (Registration No. 333-280212) and March 5, 2025 (Registration No. 333-285571).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78105</wp:posOffset>
            </wp:positionV>
            <wp:extent cx="6398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78" w:lineRule="exact"/>
        <w:rPr>
          <w:sz w:val="20"/>
          <w:szCs w:val="20"/>
          <w:color w:val="auto"/>
        </w:rPr>
      </w:pPr>
    </w:p>
    <w:p>
      <w:pPr>
        <w:ind w:left="820" w:right="720" w:hanging="214"/>
        <w:spacing w:after="0" w:line="230" w:lineRule="auto"/>
        <w:tabs>
          <w:tab w:leader="none" w:pos="820" w:val="left"/>
        </w:tabs>
        <w:numPr>
          <w:ilvl w:val="0"/>
          <w:numId w:val="3"/>
        </w:numPr>
        <w:rPr>
          <w:rFonts w:ascii="Arial" w:cs="Arial" w:eastAsia="Arial" w:hAnsi="Arial"/>
          <w:sz w:val="26"/>
          <w:szCs w:val="26"/>
          <w:color w:val="auto"/>
          <w:vertAlign w:val="superscript"/>
        </w:rPr>
      </w:pPr>
      <w:r>
        <w:rPr>
          <w:rFonts w:ascii="Arial" w:cs="Arial" w:eastAsia="Arial" w:hAnsi="Arial"/>
          <w:sz w:val="21"/>
          <w:szCs w:val="21"/>
          <w:color w:val="auto"/>
        </w:rPr>
        <w:t>Pursuant to Rule 416 under the Securities Act, this registration statement shall also cover any additional shares of Common Stock of the Registrant which become issuable under the TScan Therapeutics, Inc. 2021 Employee Stock Purchase Plan (the "2021 ESPP") by reason of any stock dividend, stock split, recapitalization or any other similar transaction effected without the receipt of consideration which results in an increase in the number of the Registrant's outstanding shares of Common Stock. The proposed maximum offering price per share of $0.92 per share, which is 85% of the average of the high and low sale prices of the Registrant's Common Stock on the Nasdaq Global Market on February 27, 2026, is set forth solely for purposes of calculating the registration fee pursuant to Rules 457(c) and (h) of the Securities Act. Pursuant to the 2021 ESPP, the purchase price of the shares of Common Stock reserved for issuance thereunder will be 85% of the fair market value of a share of Common Stock on the first trading day of the offering period or on the purchase date, whichever is less. The amount registered represents an automatic increase of 569,016 shares of Common Stock to the number of shares available under the 2021 ESPP, effective January 1, 2026. Shares available for issuance under the 2021 ESPP were previously registered on registration statements on Form S-8 filed with the Securities and Exchange Commission on July 16, 2021 (Registration No. 333-257941), March 9, 2022 (Registration No. 333-263380), March 8, 2023 (Registration No. 333-270343), March 6, 2024 (Registration No. 333-277695) and March 5, 2025 (Registration No. 333-285571).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85725</wp:posOffset>
            </wp:positionV>
            <wp:extent cx="6398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4980" w:type="dxa"/>
            <w:vAlign w:val="bottom"/>
            <w:tcBorders>
              <w:bottom w:val="single" w:sz="8" w:color="auto"/>
            </w:tcBorders>
            <w:gridSpan w:val="14"/>
          </w:tcPr>
          <w:p>
            <w:pPr>
              <w:ind w:left="40"/>
              <w:spacing w:after="0"/>
              <w:rPr>
                <w:sz w:val="20"/>
                <w:szCs w:val="20"/>
                <w:color w:val="auto"/>
              </w:rPr>
            </w:pPr>
            <w:r>
              <w:rPr>
                <w:rFonts w:ascii="Arial" w:cs="Arial" w:eastAsia="Arial" w:hAnsi="Arial"/>
                <w:sz w:val="21"/>
                <w:szCs w:val="21"/>
                <w:b w:val="1"/>
                <w:bCs w:val="1"/>
                <w:color w:val="auto"/>
              </w:rPr>
              <w:t>Table 2: Fee Offset Claims and Sources</w:t>
            </w: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200"/>
              <w:spacing w:after="0" w:line="242" w:lineRule="exact"/>
              <w:rPr>
                <w:sz w:val="20"/>
                <w:szCs w:val="20"/>
                <w:color w:val="auto"/>
              </w:rPr>
            </w:pPr>
            <w:r>
              <w:rPr>
                <w:rFonts w:ascii="MS PGothic" w:cs="MS PGothic" w:eastAsia="MS PGothic" w:hAnsi="MS PGothic"/>
                <w:sz w:val="21"/>
                <w:szCs w:val="21"/>
                <w:color w:val="auto"/>
                <w:highlight w:val="black"/>
              </w:rPr>
              <w:t>☑</w:t>
            </w:r>
            <w:r>
              <w:rPr>
                <w:rFonts w:ascii="Arial" w:cs="Arial" w:eastAsia="Arial" w:hAnsi="Arial"/>
                <w:sz w:val="21"/>
                <w:szCs w:val="21"/>
                <w:b w:val="1"/>
                <w:bCs w:val="1"/>
                <w:color w:val="auto"/>
              </w:rPr>
              <w:t>Not Applicable</w:t>
            </w: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Registrant</w:t>
            </w:r>
          </w:p>
        </w:tc>
        <w:tc>
          <w:tcPr>
            <w:tcW w:w="20" w:type="dxa"/>
            <w:vAlign w:val="bottom"/>
          </w:tcPr>
          <w:p>
            <w:pPr>
              <w:spacing w:after="0"/>
              <w:rPr>
                <w:sz w:val="19"/>
                <w:szCs w:val="19"/>
                <w:color w:val="auto"/>
              </w:rPr>
            </w:pPr>
          </w:p>
        </w:tc>
        <w:tc>
          <w:tcPr>
            <w:tcW w:w="60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Form</w:t>
            </w:r>
          </w:p>
        </w:tc>
        <w:tc>
          <w:tcPr>
            <w:tcW w:w="20" w:type="dxa"/>
            <w:vAlign w:val="bottom"/>
          </w:tcPr>
          <w:p>
            <w:pPr>
              <w:spacing w:after="0"/>
              <w:rPr>
                <w:sz w:val="19"/>
                <w:szCs w:val="19"/>
                <w:color w:val="auto"/>
              </w:rPr>
            </w:pPr>
          </w:p>
        </w:tc>
        <w:tc>
          <w:tcPr>
            <w:tcW w:w="82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9"/>
              </w:rPr>
              <w:t>File</w:t>
            </w:r>
          </w:p>
        </w:tc>
        <w:tc>
          <w:tcPr>
            <w:tcW w:w="20" w:type="dxa"/>
            <w:vAlign w:val="bottom"/>
          </w:tcPr>
          <w:p>
            <w:pPr>
              <w:spacing w:after="0"/>
              <w:rPr>
                <w:sz w:val="19"/>
                <w:szCs w:val="19"/>
                <w:color w:val="auto"/>
              </w:rPr>
            </w:pPr>
          </w:p>
        </w:tc>
        <w:tc>
          <w:tcPr>
            <w:tcW w:w="580" w:type="dxa"/>
            <w:vAlign w:val="bottom"/>
            <w:shd w:val="clear" w:color="auto" w:fill="9ADAF6"/>
          </w:tcPr>
          <w:p>
            <w:pPr>
              <w:ind w:left="20"/>
              <w:spacing w:after="0" w:line="220" w:lineRule="exact"/>
              <w:rPr>
                <w:sz w:val="20"/>
                <w:szCs w:val="20"/>
                <w:color w:val="auto"/>
              </w:rPr>
            </w:pPr>
            <w:r>
              <w:rPr>
                <w:rFonts w:ascii="Arial" w:cs="Arial" w:eastAsia="Arial" w:hAnsi="Arial"/>
                <w:sz w:val="21"/>
                <w:szCs w:val="21"/>
                <w:b w:val="1"/>
                <w:bCs w:val="1"/>
                <w:color w:val="auto"/>
                <w:w w:val="98"/>
              </w:rPr>
              <w:t>Initial</w:t>
            </w:r>
          </w:p>
        </w:tc>
        <w:tc>
          <w:tcPr>
            <w:tcW w:w="20" w:type="dxa"/>
            <w:vAlign w:val="bottom"/>
          </w:tcPr>
          <w:p>
            <w:pPr>
              <w:spacing w:after="0"/>
              <w:rPr>
                <w:sz w:val="19"/>
                <w:szCs w:val="19"/>
                <w:color w:val="auto"/>
              </w:rPr>
            </w:pPr>
          </w:p>
        </w:tc>
        <w:tc>
          <w:tcPr>
            <w:tcW w:w="58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19"/>
                <w:szCs w:val="19"/>
                <w:color w:val="auto"/>
              </w:rPr>
            </w:pPr>
          </w:p>
        </w:tc>
        <w:tc>
          <w:tcPr>
            <w:tcW w:w="8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19"/>
                <w:szCs w:val="19"/>
                <w:color w:val="auto"/>
              </w:rPr>
            </w:pPr>
          </w:p>
        </w:tc>
        <w:tc>
          <w:tcPr>
            <w:tcW w:w="11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19"/>
                <w:szCs w:val="19"/>
                <w:color w:val="auto"/>
              </w:rPr>
            </w:pPr>
          </w:p>
        </w:tc>
        <w:tc>
          <w:tcPr>
            <w:tcW w:w="11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19"/>
                <w:szCs w:val="19"/>
                <w:color w:val="auto"/>
              </w:rPr>
            </w:pPr>
          </w:p>
        </w:tc>
        <w:tc>
          <w:tcPr>
            <w:tcW w:w="11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19"/>
                <w:szCs w:val="19"/>
                <w:color w:val="auto"/>
              </w:rPr>
            </w:pPr>
          </w:p>
        </w:tc>
        <w:tc>
          <w:tcPr>
            <w:tcW w:w="1140" w:type="dxa"/>
            <w:vAlign w:val="bottom"/>
            <w:shd w:val="clear" w:color="auto" w:fill="9ADAF6"/>
          </w:tcPr>
          <w:p>
            <w:pPr>
              <w:ind w:left="220"/>
              <w:spacing w:after="0" w:line="22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19"/>
                <w:szCs w:val="19"/>
                <w:color w:val="auto"/>
              </w:rPr>
            </w:pPr>
          </w:p>
        </w:tc>
        <w:tc>
          <w:tcPr>
            <w:tcW w:w="7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19"/>
                <w:szCs w:val="19"/>
                <w:color w:val="auto"/>
              </w:rPr>
            </w:pPr>
          </w:p>
        </w:tc>
      </w:tr>
      <w:tr>
        <w:trPr>
          <w:trHeight w:val="284"/>
        </w:trPr>
        <w:tc>
          <w:tcPr>
            <w:tcW w:w="40" w:type="dxa"/>
            <w:vAlign w:val="bottom"/>
            <w:tcBorders>
              <w:left w:val="single" w:sz="8" w:color="auto"/>
            </w:tcBorders>
          </w:tcPr>
          <w:p>
            <w:pPr>
              <w:spacing w:after="0"/>
              <w:rPr>
                <w:sz w:val="24"/>
                <w:szCs w:val="24"/>
                <w:color w:val="auto"/>
              </w:rPr>
            </w:pPr>
          </w:p>
        </w:tc>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or Filer</w:t>
            </w:r>
          </w:p>
        </w:tc>
        <w:tc>
          <w:tcPr>
            <w:tcW w:w="20" w:type="dxa"/>
            <w:vAlign w:val="bottom"/>
          </w:tcPr>
          <w:p>
            <w:pPr>
              <w:spacing w:after="0"/>
              <w:rPr>
                <w:sz w:val="24"/>
                <w:szCs w:val="24"/>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5"/>
              </w:rPr>
              <w:t>or</w:t>
            </w:r>
          </w:p>
        </w:tc>
        <w:tc>
          <w:tcPr>
            <w:tcW w:w="20" w:type="dxa"/>
            <w:vAlign w:val="bottom"/>
          </w:tcPr>
          <w:p>
            <w:pPr>
              <w:spacing w:after="0"/>
              <w:rPr>
                <w:sz w:val="24"/>
                <w:szCs w:val="24"/>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Number</w:t>
            </w:r>
          </w:p>
        </w:tc>
        <w:tc>
          <w:tcPr>
            <w:tcW w:w="20" w:type="dxa"/>
            <w:vAlign w:val="bottom"/>
          </w:tcPr>
          <w:p>
            <w:pPr>
              <w:spacing w:after="0"/>
              <w:rPr>
                <w:sz w:val="24"/>
                <w:szCs w:val="24"/>
                <w:color w:val="auto"/>
              </w:rPr>
            </w:pPr>
          </w:p>
        </w:tc>
        <w:tc>
          <w:tcPr>
            <w:tcW w:w="580" w:type="dxa"/>
            <w:vAlign w:val="bottom"/>
            <w:shd w:val="clear" w:color="auto" w:fill="9ADAF6"/>
          </w:tcPr>
          <w:p>
            <w:pPr>
              <w:ind w:left="20"/>
              <w:spacing w:after="0"/>
              <w:rPr>
                <w:sz w:val="20"/>
                <w:szCs w:val="20"/>
                <w:color w:val="auto"/>
              </w:rPr>
            </w:pPr>
            <w:r>
              <w:rPr>
                <w:rFonts w:ascii="Arial" w:cs="Arial" w:eastAsia="Arial" w:hAnsi="Arial"/>
                <w:sz w:val="21"/>
                <w:szCs w:val="21"/>
                <w:b w:val="1"/>
                <w:bCs w:val="1"/>
                <w:color w:val="auto"/>
                <w:w w:val="96"/>
              </w:rPr>
              <w:t>Filing</w:t>
            </w:r>
          </w:p>
        </w:tc>
        <w:tc>
          <w:tcPr>
            <w:tcW w:w="20" w:type="dxa"/>
            <w:vAlign w:val="bottom"/>
          </w:tcPr>
          <w:p>
            <w:pPr>
              <w:spacing w:after="0"/>
              <w:rPr>
                <w:sz w:val="24"/>
                <w:szCs w:val="24"/>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6"/>
              </w:rPr>
              <w:t>Date</w:t>
            </w:r>
          </w:p>
        </w:tc>
        <w:tc>
          <w:tcPr>
            <w:tcW w:w="40" w:type="dxa"/>
            <w:vAlign w:val="bottom"/>
          </w:tcPr>
          <w:p>
            <w:pPr>
              <w:spacing w:after="0"/>
              <w:rPr>
                <w:sz w:val="24"/>
                <w:szCs w:val="24"/>
                <w:color w:val="auto"/>
              </w:rPr>
            </w:pPr>
          </w:p>
        </w:tc>
        <w:tc>
          <w:tcPr>
            <w:tcW w:w="8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Offset</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Securities</w:t>
            </w:r>
          </w:p>
        </w:tc>
        <w:tc>
          <w:tcPr>
            <w:tcW w:w="20" w:type="dxa"/>
            <w:vAlign w:val="bottom"/>
          </w:tcPr>
          <w:p>
            <w:pPr>
              <w:spacing w:after="0"/>
              <w:rPr>
                <w:sz w:val="24"/>
                <w:szCs w:val="24"/>
                <w:color w:val="auto"/>
              </w:rPr>
            </w:pPr>
          </w:p>
        </w:tc>
        <w:tc>
          <w:tcPr>
            <w:tcW w:w="1140" w:type="dxa"/>
            <w:vAlign w:val="bottom"/>
            <w:shd w:val="clear" w:color="auto" w:fill="9ADAF6"/>
          </w:tcPr>
          <w:p>
            <w:pPr>
              <w:ind w:left="60"/>
              <w:spacing w:after="0"/>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4"/>
                <w:szCs w:val="24"/>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Paid</w:t>
            </w:r>
          </w:p>
        </w:tc>
        <w:tc>
          <w:tcPr>
            <w:tcW w:w="80" w:type="dxa"/>
            <w:vAlign w:val="bottom"/>
            <w:tcBorders>
              <w:right w:val="single" w:sz="8" w:color="auto"/>
            </w:tcBorders>
          </w:tcPr>
          <w:p>
            <w:pPr>
              <w:spacing w:after="0"/>
              <w:rPr>
                <w:sz w:val="24"/>
                <w:szCs w:val="24"/>
                <w:color w:val="auto"/>
              </w:rPr>
            </w:pPr>
          </w:p>
        </w:tc>
      </w:tr>
      <w:tr>
        <w:trPr>
          <w:trHeight w:val="102"/>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r>
    </w:tbl>
    <w:p>
      <w:pPr>
        <w:sectPr>
          <w:pgSz w:w="11900" w:h="16900" w:orient="portrait"/>
          <w:cols w:equalWidth="0" w:num="1">
            <w:col w:w="11340"/>
          </w:cols>
          <w:pgMar w:left="320" w:top="141" w:right="239" w:bottom="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3387725</wp:posOffset>
            </wp:positionH>
            <wp:positionV relativeFrom="page">
              <wp:posOffset>88900</wp:posOffset>
            </wp:positionV>
            <wp:extent cx="534670" cy="970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534670" cy="97028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1"/>
        </w:trPr>
        <w:tc>
          <w:tcPr>
            <w:tcW w:w="40" w:type="dxa"/>
            <w:vAlign w:val="bottom"/>
            <w:tcBorders>
              <w:left w:val="single" w:sz="8" w:color="auto"/>
            </w:tcBorders>
          </w:tcPr>
          <w:p>
            <w:pPr>
              <w:spacing w:after="0"/>
              <w:rPr>
                <w:sz w:val="21"/>
                <w:szCs w:val="21"/>
                <w:color w:val="auto"/>
              </w:rPr>
            </w:pPr>
          </w:p>
        </w:tc>
        <w:tc>
          <w:tcPr>
            <w:tcW w:w="80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9ADAF6"/>
          </w:tcPr>
          <w:p>
            <w:pPr>
              <w:ind w:left="240"/>
              <w:spacing w:after="0"/>
              <w:rPr>
                <w:sz w:val="20"/>
                <w:szCs w:val="20"/>
                <w:color w:val="auto"/>
              </w:rPr>
            </w:pPr>
            <w:r>
              <w:rPr>
                <w:rFonts w:ascii="Arial" w:cs="Arial" w:eastAsia="Arial" w:hAnsi="Arial"/>
                <w:sz w:val="21"/>
                <w:szCs w:val="21"/>
                <w:b w:val="1"/>
                <w:bCs w:val="1"/>
                <w:color w:val="auto"/>
              </w:rPr>
              <w:t>Name</w:t>
            </w:r>
          </w:p>
        </w:tc>
        <w:tc>
          <w:tcPr>
            <w:tcW w:w="20" w:type="dxa"/>
            <w:vAlign w:val="bottom"/>
          </w:tcPr>
          <w:p>
            <w:pPr>
              <w:spacing w:after="0"/>
              <w:rPr>
                <w:sz w:val="21"/>
                <w:szCs w:val="21"/>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21"/>
                <w:szCs w:val="21"/>
                <w:color w:val="auto"/>
              </w:rPr>
            </w:pPr>
          </w:p>
        </w:tc>
        <w:tc>
          <w:tcPr>
            <w:tcW w:w="8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1"/>
                <w:szCs w:val="21"/>
                <w:color w:val="auto"/>
              </w:rPr>
            </w:pPr>
          </w:p>
        </w:tc>
        <w:tc>
          <w:tcPr>
            <w:tcW w:w="58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1"/>
                <w:szCs w:val="21"/>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1"/>
                <w:szCs w:val="21"/>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Associated</w:t>
            </w:r>
          </w:p>
        </w:tc>
        <w:tc>
          <w:tcPr>
            <w:tcW w:w="40" w:type="dxa"/>
            <w:vAlign w:val="bottom"/>
          </w:tcPr>
          <w:p>
            <w:pPr>
              <w:spacing w:after="0"/>
              <w:rPr>
                <w:sz w:val="21"/>
                <w:szCs w:val="21"/>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1"/>
                <w:szCs w:val="21"/>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1"/>
                <w:szCs w:val="21"/>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w:t>
            </w:r>
          </w:p>
        </w:tc>
        <w:tc>
          <w:tcPr>
            <w:tcW w:w="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Amount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Offset</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Offset</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Offset</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Offset</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Source</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Offset</w:t>
            </w:r>
          </w:p>
        </w:tc>
        <w:tc>
          <w:tcPr>
            <w:tcW w:w="20" w:type="dxa"/>
            <w:vAlign w:val="bottom"/>
          </w:tcPr>
          <w:p>
            <w:pPr>
              <w:spacing w:after="0"/>
              <w:rPr>
                <w:sz w:val="20"/>
                <w:szCs w:val="20"/>
                <w:color w:val="auto"/>
              </w:rPr>
            </w:pPr>
          </w:p>
        </w:tc>
        <w:tc>
          <w:tcPr>
            <w:tcW w:w="740" w:type="dxa"/>
            <w:vAlign w:val="bottom"/>
            <w:shd w:val="clear" w:color="auto" w:fill="9ADAF6"/>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3"/>
                <w:szCs w:val="23"/>
                <w:color w:val="auto"/>
              </w:rPr>
            </w:pPr>
          </w:p>
        </w:tc>
        <w:tc>
          <w:tcPr>
            <w:tcW w:w="740" w:type="dxa"/>
            <w:vAlign w:val="bottom"/>
            <w:shd w:val="clear" w:color="auto" w:fill="9ADAF6"/>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vMerge w:val="restart"/>
          </w:tcPr>
          <w:p>
            <w:pPr>
              <w:spacing w:after="0"/>
              <w:rPr>
                <w:sz w:val="10"/>
                <w:szCs w:val="10"/>
                <w:color w:val="auto"/>
              </w:rPr>
            </w:pPr>
          </w:p>
        </w:tc>
        <w:tc>
          <w:tcPr>
            <w:tcW w:w="2000" w:type="dxa"/>
            <w:vAlign w:val="bottom"/>
            <w:gridSpan w:val="3"/>
            <w:vMerge w:val="restart"/>
          </w:tcPr>
          <w:p>
            <w:pPr>
              <w:ind w:left="100"/>
              <w:spacing w:after="0"/>
              <w:rPr>
                <w:sz w:val="20"/>
                <w:szCs w:val="20"/>
                <w:color w:val="auto"/>
              </w:rPr>
            </w:pPr>
            <w:r>
              <w:rPr>
                <w:rFonts w:ascii="Arial" w:cs="Arial" w:eastAsia="Arial" w:hAnsi="Arial"/>
                <w:sz w:val="21"/>
                <w:szCs w:val="21"/>
                <w:b w:val="1"/>
                <w:bCs w:val="1"/>
                <w:color w:val="auto"/>
              </w:rPr>
              <w:t>Rule 457(p)</w:t>
            </w: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20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ind w:left="24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Claims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ind w:left="24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w w:val="98"/>
              </w:rPr>
              <w:t>Sources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40"/>
      </w:cols>
      <w:pgMar w:left="320" w:top="10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2"/>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4"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jpe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18" Type="http://schemas.openxmlformats.org/officeDocument/2006/relationships/hyperlink" Target="http://www.sec.gov/Archives/edgar/data/1783328/000119312521216925/d178021ds8.htm" TargetMode="External"/><Relationship Id="rId19" Type="http://schemas.openxmlformats.org/officeDocument/2006/relationships/hyperlink" Target="http://www.sec.gov/Archives/edgar/data/1783328/000119312524060705/d781311ds8.htm" TargetMode="External"/><Relationship Id="rId20" Type="http://schemas.openxmlformats.org/officeDocument/2006/relationships/hyperlink" Target="http://www.sec.gov/Archives/edgar/data/1783328/000119312524161589/d820577ds8.htm" TargetMode="External"/><Relationship Id="rId21" Type="http://schemas.openxmlformats.org/officeDocument/2006/relationships/hyperlink" Target="http://www.sec.gov/Archives/edgar/data/1783328/000119312525047221/d824752ds8.htm" TargetMode="External"/><Relationship Id="rId22" Type="http://schemas.openxmlformats.org/officeDocument/2006/relationships/hyperlink" Target="http://www.sec.gov/Archives/edgar/data/1783328/000119312522069921/d314740ds8.htm" TargetMode="External"/><Relationship Id="rId23" Type="http://schemas.openxmlformats.org/officeDocument/2006/relationships/hyperlink" Target="http://www.sec.gov/Archives/edgar/data/1783328/000119312523063834/d312398ds8.htm" TargetMode="External"/><Relationship Id="rId25" Type="http://schemas.openxmlformats.org/officeDocument/2006/relationships/hyperlink" Target="http://www.sec.gov/Archives/edgar/data/1783328/000119312521219696/d172723dex31.htm" TargetMode="External"/><Relationship Id="rId26" Type="http://schemas.openxmlformats.org/officeDocument/2006/relationships/hyperlink" Target="http://www.sec.gov/Archives/edgar/data/1783328/000119312521219696/d172723dex32.htm" TargetMode="External"/><Relationship Id="rId27" Type="http://schemas.openxmlformats.org/officeDocument/2006/relationships/hyperlink" Target="http://www.sec.gov/Archives/edgar/data/1783328/000119312524161151/d785285dex101.htm" TargetMode="External"/><Relationship Id="rId28" Type="http://schemas.openxmlformats.org/officeDocument/2006/relationships/hyperlink" Target="http://www.sec.gov/Archives/edgar/data/1783328/000119312521129264/d107876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2026-03-04T06:43:47Z</dcterms:created>
  <dcterms:modified xsi:type="dcterms:W3CDTF">2026-03-04T06:43:47Z</dcterms:modified>
</cp:coreProperties>
</file>