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Dworak Leiden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TSCAN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830 WINTER STREET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TScan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TCRX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21"/>
              <w:spacing w:after="0"/>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1.12</w:t>
            </w:r>
          </w:p>
        </w:tc>
        <w:tc>
          <w:tcPr>
            <w:tcW w:w="140" w:type="dxa"/>
            <w:vAlign w:val="bottom"/>
          </w:tcPr>
          <w:p>
            <w:pPr>
              <w:spacing w:after="0"/>
              <w:rPr>
                <w:sz w:val="6"/>
                <w:szCs w:val="6"/>
                <w:color w:val="auto"/>
              </w:rPr>
            </w:pPr>
          </w:p>
        </w:tc>
        <w:tc>
          <w:tcPr>
            <w:tcW w:w="1060" w:type="dxa"/>
            <w:vAlign w:val="bottom"/>
            <w:vMerge w:val="restart"/>
          </w:tcPr>
          <w:p>
            <w:pPr>
              <w:ind w:left="240"/>
              <w:spacing w:after="0" w:line="140" w:lineRule="exact"/>
              <w:rPr>
                <w:sz w:val="20"/>
                <w:szCs w:val="20"/>
                <w:color w:val="auto"/>
              </w:rPr>
            </w:pPr>
            <w:r>
              <w:rPr>
                <w:rFonts w:ascii="Times New Roman" w:cs="Times New Roman" w:eastAsia="Times New Roman" w:hAnsi="Times New Roman"/>
                <w:sz w:val="13"/>
                <w:szCs w:val="13"/>
                <w:color w:val="0000FF"/>
              </w:rPr>
              <w:t>01/20/2026</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restart"/>
          </w:tcPr>
          <w:p>
            <w:pPr>
              <w:ind w:left="40"/>
              <w:spacing w:after="0" w:line="140" w:lineRule="exact"/>
              <w:rPr>
                <w:sz w:val="20"/>
                <w:szCs w:val="20"/>
                <w:color w:val="auto"/>
              </w:rPr>
            </w:pPr>
            <w:r>
              <w:rPr>
                <w:rFonts w:ascii="Times New Roman" w:cs="Times New Roman" w:eastAsia="Times New Roman" w:hAnsi="Times New Roman"/>
                <w:sz w:val="13"/>
                <w:szCs w:val="13"/>
                <w:color w:val="0000FF"/>
              </w:rPr>
              <w:t>01/20/2036</w:t>
            </w:r>
          </w:p>
        </w:tc>
        <w:tc>
          <w:tcPr>
            <w:tcW w:w="66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20"/>
              <w:spacing w:after="0" w:line="140" w:lineRule="exact"/>
              <w:rPr>
                <w:sz w:val="20"/>
                <w:szCs w:val="20"/>
                <w:color w:val="auto"/>
              </w:rPr>
            </w:pPr>
            <w:r>
              <w:rPr>
                <w:rFonts w:ascii="Times New Roman" w:cs="Times New Roman" w:eastAsia="Times New Roman" w:hAnsi="Times New Roman"/>
                <w:sz w:val="13"/>
                <w:szCs w:val="13"/>
                <w:color w:val="0000FF"/>
              </w:rPr>
              <w:t>100,000</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-1829435</wp:posOffset>
            </wp:positionV>
            <wp:extent cx="28575" cy="1834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345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6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with respect to 25% of the shares on the one-year anniversary of January 20, 2026, with the balance vesting thereafter in equal monthly installments over the next 36 months, subject to the Reporting Person's continued service to the Issuer on each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Principal Accounting Officer and Vice President, Finance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Zoran Zdraveski, Attorney-</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01/22/2026</w:t>
            </w:r>
          </w:p>
        </w:tc>
        <w:tc>
          <w:tcPr>
            <w:tcW w:w="0" w:type="dxa"/>
            <w:vAlign w:val="bottom"/>
          </w:tcPr>
          <w:p>
            <w:pPr>
              <w:spacing w:after="0"/>
              <w:rPr>
                <w:sz w:val="1"/>
                <w:szCs w:val="1"/>
                <w:color w:val="auto"/>
              </w:rPr>
            </w:pPr>
          </w:p>
        </w:tc>
      </w:tr>
      <w:tr>
        <w:trPr>
          <w:trHeight w:val="87"/>
        </w:trPr>
        <w:tc>
          <w:tcPr>
            <w:tcW w:w="4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1"/>
              </w:rPr>
              <w:t>in-Fact</w:t>
            </w:r>
          </w:p>
        </w:tc>
        <w:tc>
          <w:tcPr>
            <w:tcW w:w="17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6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6012" TargetMode="External"/><Relationship Id="rId14" Type="http://schemas.openxmlformats.org/officeDocument/2006/relationships/hyperlink" Target="http://www.sec.gov/cgi-bin/browse-edgar?action=getcompany&amp;CIK=00017833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2026-01-22T16:31:44Z</dcterms:created>
  <dcterms:modified xsi:type="dcterms:W3CDTF">2026-01-22T16:31:44Z</dcterms:modified>
</cp:coreProperties>
</file>