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MacBeath Gavin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TSCAN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TScan Therapeutics, Inc.</w:t>
              </w:r>
            </w:hyperlink>
            <w:r>
              <w:rPr/>
              <w:t xml:space="preserve"> [ </w:t>
            </w:r>
            <w:r>
              <w:rPr>
                <w:rFonts w:ascii="Times;serif" w:hAnsi="Times;serif"/>
                <w:color w:val="0000FF"/>
                <w:sz w:val="24"/>
                <w:shd w:fill="FFFFFF" w:val="clear"/>
              </w:rPr>
              <w:t>TCRX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136"/>
        <w:gridCol w:w="438"/>
        <w:gridCol w:w="656"/>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1,049,767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restricted stock units ("RSUs") shall vest on September 30, 2028, with the remaining 75% of the RSUs vesting on the earlier of (i) reporting of completion of the pivotal trial of TSC-101, or (ii) September 30, 2030, subject to continued service with the Issuer through the applicable vesting dates and the terms of the Issuer's Amended and Restated 2021 Equity Incentive Plan and the applicable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Zoran Zdraveski,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082" TargetMode="External"/><Relationship Id="rId5" Type="http://schemas.openxmlformats.org/officeDocument/2006/relationships/hyperlink" Target="http://www.sec.gov/cgi-bin/browse-edgar?action=getcompany&amp;CIK=00017833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3466</Characters>
  <CharactersWithSpaces>4035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